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2B123">
      <w:pPr>
        <w:spacing w:before="29" w:line="195" w:lineRule="auto"/>
        <w:ind w:firstLine="200" w:firstLineChars="100"/>
        <w:rPr>
          <w:rFonts w:hint="default" w:ascii="Times New Roman" w:hAnsi="Times New Roman" w:eastAsia="宋体" w:cs="Times New Roman"/>
          <w:color w:val="auto"/>
          <w:sz w:val="20"/>
          <w:szCs w:val="20"/>
          <w:lang w:val="en-US" w:eastAsia="zh-CN"/>
        </w:rPr>
      </w:pPr>
      <w:r>
        <w:rPr>
          <w:rFonts w:ascii="Times New Roman" w:hAnsi="Times New Roman" w:eastAsia="Times New Roman" w:cs="Times New Roman"/>
          <w:color w:val="auto"/>
          <w:sz w:val="20"/>
          <w:szCs w:val="20"/>
        </w:rPr>
        <w:t>ICS</w:t>
      </w:r>
      <w:r>
        <w:rPr>
          <w:rFonts w:ascii="Times New Roman" w:hAnsi="Times New Roman" w:eastAsia="Times New Roman" w:cs="Times New Roman"/>
          <w:color w:val="auto"/>
          <w:spacing w:val="5"/>
          <w:sz w:val="20"/>
          <w:szCs w:val="20"/>
        </w:rPr>
        <w:t xml:space="preserve"> </w:t>
      </w:r>
      <w:r>
        <w:rPr>
          <w:rFonts w:hint="eastAsia" w:ascii="Times New Roman" w:hAnsi="Times New Roman" w:eastAsia="宋体" w:cs="Times New Roman"/>
          <w:color w:val="auto"/>
          <w:spacing w:val="5"/>
          <w:sz w:val="20"/>
          <w:szCs w:val="20"/>
          <w:lang w:val="en-US" w:eastAsia="zh-CN"/>
        </w:rPr>
        <w:t xml:space="preserve"> 59.060.10</w:t>
      </w:r>
    </w:p>
    <w:p w14:paraId="416CF4CD">
      <w:pPr>
        <w:spacing w:before="23" w:line="190" w:lineRule="auto"/>
        <w:ind w:firstLine="202" w:firstLineChars="100"/>
        <w:outlineLvl w:val="0"/>
        <w:rPr>
          <w:rFonts w:hint="eastAsia" w:ascii="Times New Roman" w:hAnsi="Times New Roman" w:eastAsia="Times New Roman" w:cs="Times New Roman"/>
          <w:color w:val="auto"/>
          <w:spacing w:val="1"/>
          <w:position w:val="40"/>
          <w:sz w:val="20"/>
          <w:szCs w:val="20"/>
        </w:rPr>
      </w:pPr>
      <w:bookmarkStart w:id="0" w:name="_Toc11225"/>
      <w:bookmarkStart w:id="1" w:name="_Toc23706"/>
      <w:r>
        <w:rPr>
          <w:rFonts w:hint="eastAsia" w:ascii="Times New Roman" w:hAnsi="Times New Roman" w:eastAsia="Times New Roman" w:cs="Times New Roman"/>
          <w:color w:val="auto"/>
          <w:spacing w:val="1"/>
          <w:position w:val="40"/>
          <w:sz w:val="20"/>
          <w:szCs w:val="20"/>
        </w:rPr>
        <w:t>CCS</w:t>
      </w:r>
      <w:r>
        <w:rPr>
          <w:rFonts w:hint="eastAsia" w:ascii="Times New Roman" w:hAnsi="Times New Roman" w:eastAsia="宋体" w:cs="Times New Roman"/>
          <w:color w:val="auto"/>
          <w:spacing w:val="1"/>
          <w:position w:val="40"/>
          <w:sz w:val="20"/>
          <w:szCs w:val="20"/>
          <w:lang w:val="en-US" w:eastAsia="zh-CN"/>
        </w:rPr>
        <w:t xml:space="preserve"> W00</w:t>
      </w:r>
      <w:bookmarkEnd w:id="0"/>
      <w:bookmarkEnd w:id="1"/>
      <w:r>
        <w:rPr>
          <w:rFonts w:hint="eastAsia" w:ascii="Times New Roman" w:hAnsi="Times New Roman" w:eastAsia="Times New Roman" w:cs="Times New Roman"/>
          <w:color w:val="auto"/>
          <w:spacing w:val="1"/>
          <w:position w:val="40"/>
          <w:sz w:val="20"/>
          <w:szCs w:val="20"/>
        </w:rPr>
        <w:t xml:space="preserve"> </w:t>
      </w:r>
    </w:p>
    <w:p w14:paraId="04E8AD2E">
      <w:pPr>
        <w:keepNext w:val="0"/>
        <w:keepLines w:val="0"/>
        <w:widowControl/>
        <w:suppressLineNumbers w:val="0"/>
        <w:jc w:val="left"/>
      </w:pPr>
    </w:p>
    <w:p w14:paraId="53D00799">
      <w:pPr>
        <w:spacing w:before="23" w:line="190" w:lineRule="auto"/>
        <w:ind w:firstLine="202" w:firstLineChars="100"/>
        <w:outlineLvl w:val="0"/>
        <w:rPr>
          <w:rFonts w:hint="default" w:ascii="Times New Roman" w:hAnsi="Times New Roman" w:eastAsia="宋体" w:cs="Times New Roman"/>
          <w:sz w:val="95"/>
          <w:szCs w:val="95"/>
          <w:lang w:val="en-US" w:eastAsia="zh-CN"/>
        </w:rPr>
      </w:pPr>
      <w:r>
        <w:rPr>
          <w:rFonts w:hint="eastAsia" w:ascii="Times New Roman" w:hAnsi="Times New Roman" w:eastAsia="宋体" w:cs="Times New Roman"/>
          <w:color w:val="FF0000"/>
          <w:spacing w:val="1"/>
          <w:position w:val="40"/>
          <w:sz w:val="20"/>
          <w:szCs w:val="20"/>
          <w:lang w:val="en-US" w:eastAsia="zh-CN"/>
        </w:rPr>
        <w:t xml:space="preserve">  </w:t>
      </w:r>
      <w:r>
        <w:rPr>
          <w:rFonts w:ascii="Times New Roman" w:hAnsi="Times New Roman" w:eastAsia="Times New Roman" w:cs="Times New Roman"/>
          <w:color w:val="FF0000"/>
          <w:spacing w:val="1"/>
          <w:position w:val="40"/>
          <w:sz w:val="20"/>
          <w:szCs w:val="20"/>
        </w:rPr>
        <w:t xml:space="preserve">           </w:t>
      </w:r>
      <w:r>
        <w:rPr>
          <w:rFonts w:hint="eastAsia" w:ascii="Times New Roman" w:hAnsi="Times New Roman" w:eastAsia="宋体" w:cs="Times New Roman"/>
          <w:color w:val="FF0000"/>
          <w:spacing w:val="1"/>
          <w:position w:val="40"/>
          <w:sz w:val="20"/>
          <w:szCs w:val="20"/>
          <w:lang w:val="en-US" w:eastAsia="zh-CN"/>
        </w:rPr>
        <w:t xml:space="preserve"> </w:t>
      </w:r>
      <w:r>
        <w:rPr>
          <w:rFonts w:ascii="Times New Roman" w:hAnsi="Times New Roman" w:eastAsia="Times New Roman" w:cs="Times New Roman"/>
          <w:color w:val="FF0000"/>
          <w:spacing w:val="1"/>
          <w:position w:val="40"/>
          <w:sz w:val="20"/>
          <w:szCs w:val="20"/>
        </w:rPr>
        <w:t xml:space="preserve"> </w:t>
      </w:r>
      <w:r>
        <w:rPr>
          <w:rFonts w:ascii="Times New Roman" w:hAnsi="Times New Roman" w:eastAsia="Times New Roman" w:cs="Times New Roman"/>
          <w:color w:val="FF0000"/>
          <w:position w:val="40"/>
          <w:sz w:val="20"/>
          <w:szCs w:val="20"/>
        </w:rPr>
        <w:t xml:space="preserve">                                                 </w:t>
      </w:r>
      <w:r>
        <w:rPr>
          <w:rFonts w:hint="eastAsia" w:ascii="Times New Roman" w:hAnsi="Times New Roman" w:eastAsia="宋体" w:cs="Times New Roman"/>
          <w:color w:val="FF0000"/>
          <w:position w:val="40"/>
          <w:sz w:val="20"/>
          <w:szCs w:val="20"/>
          <w:lang w:val="en-US" w:eastAsia="zh-CN"/>
        </w:rPr>
        <w:t xml:space="preserve">                                     </w:t>
      </w:r>
      <w:r>
        <w:rPr>
          <w:rFonts w:ascii="Times New Roman" w:hAnsi="Times New Roman" w:eastAsia="Times New Roman" w:cs="Times New Roman"/>
          <w:color w:val="FF0000"/>
          <w:position w:val="40"/>
          <w:sz w:val="20"/>
          <w:szCs w:val="20"/>
        </w:rPr>
        <w:t xml:space="preserve">   </w:t>
      </w:r>
      <w:r>
        <w:rPr>
          <w:rFonts w:hint="eastAsia" w:ascii="Times New Roman" w:hAnsi="Times New Roman" w:eastAsia="宋体" w:cs="Times New Roman"/>
          <w:color w:val="FF0000"/>
          <w:position w:val="40"/>
          <w:sz w:val="20"/>
          <w:szCs w:val="20"/>
          <w:lang w:val="en-US" w:eastAsia="zh-CN"/>
        </w:rPr>
        <w:t xml:space="preserve"> </w:t>
      </w:r>
      <w:r>
        <w:rPr>
          <w:rFonts w:ascii="Times New Roman" w:hAnsi="Times New Roman" w:eastAsia="Times New Roman" w:cs="Times New Roman"/>
          <w:color w:val="FF0000"/>
          <w:position w:val="40"/>
          <w:sz w:val="20"/>
          <w:szCs w:val="20"/>
        </w:rPr>
        <w:t xml:space="preserve">                  </w:t>
      </w:r>
      <w:bookmarkStart w:id="2" w:name="_Toc1762"/>
      <w:bookmarkStart w:id="3" w:name="_Toc17094"/>
      <w:r>
        <w:rPr>
          <w:rFonts w:ascii="Times New Roman" w:hAnsi="Times New Roman" w:eastAsia="Times New Roman" w:cs="Times New Roman"/>
          <w:b/>
          <w:bCs/>
          <w:spacing w:val="34"/>
          <w:w w:val="118"/>
          <w:position w:val="-1"/>
          <w:sz w:val="95"/>
          <w:szCs w:val="95"/>
        </w:rPr>
        <w:t>DB</w:t>
      </w:r>
      <w:r>
        <w:rPr>
          <w:rFonts w:hint="eastAsia" w:ascii="Times New Roman" w:hAnsi="Times New Roman" w:eastAsia="宋体" w:cs="Times New Roman"/>
          <w:b/>
          <w:bCs/>
          <w:spacing w:val="34"/>
          <w:w w:val="118"/>
          <w:position w:val="-1"/>
          <w:sz w:val="95"/>
          <w:szCs w:val="95"/>
          <w:lang w:val="en-US" w:eastAsia="zh-CN"/>
        </w:rPr>
        <w:t>32</w:t>
      </w:r>
      <w:bookmarkEnd w:id="2"/>
      <w:bookmarkEnd w:id="3"/>
    </w:p>
    <w:p w14:paraId="681D008E">
      <w:pPr>
        <w:pStyle w:val="3"/>
        <w:spacing w:before="313" w:line="225" w:lineRule="auto"/>
        <w:jc w:val="right"/>
        <w:rPr>
          <w:sz w:val="47"/>
          <w:szCs w:val="47"/>
        </w:rPr>
      </w:pPr>
      <w:r>
        <w:rPr>
          <w:rFonts w:hint="eastAsia"/>
          <w:spacing w:val="35"/>
          <w:sz w:val="47"/>
          <w:szCs w:val="47"/>
          <w:lang w:val="en-US" w:eastAsia="zh-CN"/>
        </w:rPr>
        <w:t>江   苏</w:t>
      </w:r>
      <w:r>
        <w:rPr>
          <w:spacing w:val="35"/>
          <w:sz w:val="47"/>
          <w:szCs w:val="47"/>
        </w:rPr>
        <w:t xml:space="preserve">    </w:t>
      </w:r>
      <w:r>
        <w:rPr>
          <w:spacing w:val="-12"/>
          <w:sz w:val="47"/>
          <w:szCs w:val="47"/>
        </w:rPr>
        <w:t>省</w:t>
      </w:r>
      <w:r>
        <w:rPr>
          <w:spacing w:val="35"/>
          <w:sz w:val="47"/>
          <w:szCs w:val="47"/>
        </w:rPr>
        <w:t xml:space="preserve">    </w:t>
      </w:r>
      <w:r>
        <w:rPr>
          <w:spacing w:val="-12"/>
          <w:sz w:val="47"/>
          <w:szCs w:val="47"/>
        </w:rPr>
        <w:t>地</w:t>
      </w:r>
      <w:r>
        <w:rPr>
          <w:spacing w:val="38"/>
          <w:sz w:val="47"/>
          <w:szCs w:val="47"/>
        </w:rPr>
        <w:t xml:space="preserve">    </w:t>
      </w:r>
      <w:r>
        <w:rPr>
          <w:spacing w:val="-12"/>
          <w:sz w:val="47"/>
          <w:szCs w:val="47"/>
        </w:rPr>
        <w:t>方</w:t>
      </w:r>
      <w:r>
        <w:rPr>
          <w:spacing w:val="32"/>
          <w:sz w:val="47"/>
          <w:szCs w:val="47"/>
        </w:rPr>
        <w:t xml:space="preserve">    </w:t>
      </w:r>
      <w:r>
        <w:rPr>
          <w:spacing w:val="-12"/>
          <w:sz w:val="47"/>
          <w:szCs w:val="47"/>
        </w:rPr>
        <w:t>标</w:t>
      </w:r>
      <w:r>
        <w:rPr>
          <w:spacing w:val="35"/>
          <w:sz w:val="47"/>
          <w:szCs w:val="47"/>
        </w:rPr>
        <w:t xml:space="preserve">    </w:t>
      </w:r>
      <w:r>
        <w:rPr>
          <w:spacing w:val="-12"/>
          <w:sz w:val="47"/>
          <w:szCs w:val="47"/>
        </w:rPr>
        <w:t>准</w:t>
      </w:r>
    </w:p>
    <w:p w14:paraId="0B37E4DD">
      <w:pPr>
        <w:pStyle w:val="3"/>
        <w:spacing w:before="320" w:line="237" w:lineRule="auto"/>
        <w:ind w:left="6674"/>
        <w:rPr>
          <w:rFonts w:ascii="Times New Roman" w:hAnsi="Times New Roman" w:eastAsia="Times New Roman" w:cs="Times New Roman"/>
          <w:spacing w:val="-1"/>
        </w:rPr>
      </w:pPr>
      <w:r>
        <w:rPr>
          <w:rFonts w:ascii="Times New Roman" w:hAnsi="Times New Roman" w:eastAsia="Times New Roman" w:cs="Times New Roman"/>
          <w:spacing w:val="-1"/>
        </w:rPr>
        <w:t xml:space="preserve">DB </w:t>
      </w:r>
      <w:r>
        <w:rPr>
          <w:rFonts w:hint="eastAsia" w:ascii="Times New Roman" w:hAnsi="Times New Roman" w:eastAsia="宋体" w:cs="Times New Roman"/>
          <w:spacing w:val="-1"/>
          <w:lang w:val="en-US" w:eastAsia="zh-CN"/>
        </w:rPr>
        <w:t>32</w:t>
      </w:r>
      <w:r>
        <w:rPr>
          <w:spacing w:val="-1"/>
        </w:rPr>
        <w:t>/T XXXXX—202</w:t>
      </w:r>
      <w:r>
        <w:rPr>
          <w:rFonts w:hint="eastAsia"/>
          <w:spacing w:val="-1"/>
          <w:lang w:val="en-US" w:eastAsia="zh-CN"/>
        </w:rPr>
        <w:t>4</w:t>
      </w:r>
    </w:p>
    <w:p w14:paraId="28E169CB">
      <w:pPr>
        <w:pStyle w:val="3"/>
        <w:spacing w:before="320" w:line="237" w:lineRule="auto"/>
        <w:ind w:left="6674"/>
        <w:rPr>
          <w:rFonts w:hint="eastAsia" w:eastAsia="黑体"/>
          <w:lang w:val="en-US" w:eastAsia="zh-CN"/>
        </w:rPr>
      </w:pPr>
      <w:r>
        <w:drawing>
          <wp:anchor distT="0" distB="0" distL="0" distR="0" simplePos="0" relativeHeight="251661312" behindDoc="0" locked="0" layoutInCell="0" allowOverlap="1">
            <wp:simplePos x="0" y="0"/>
            <wp:positionH relativeFrom="page">
              <wp:posOffset>813435</wp:posOffset>
            </wp:positionH>
            <wp:positionV relativeFrom="page">
              <wp:posOffset>2852420</wp:posOffset>
            </wp:positionV>
            <wp:extent cx="6120130" cy="9525"/>
            <wp:effectExtent l="0" t="0" r="0" b="0"/>
            <wp:wrapNone/>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16"/>
                    <a:stretch>
                      <a:fillRect/>
                    </a:stretch>
                  </pic:blipFill>
                  <pic:spPr>
                    <a:xfrm>
                      <a:off x="0" y="0"/>
                      <a:ext cx="6120130" cy="9525"/>
                    </a:xfrm>
                    <a:prstGeom prst="rect">
                      <a:avLst/>
                    </a:prstGeom>
                  </pic:spPr>
                </pic:pic>
              </a:graphicData>
            </a:graphic>
          </wp:anchor>
        </w:drawing>
      </w:r>
    </w:p>
    <w:p w14:paraId="194E10D0">
      <w:pPr>
        <w:spacing w:line="244" w:lineRule="auto"/>
        <w:rPr>
          <w:rFonts w:ascii="Arial"/>
          <w:sz w:val="21"/>
        </w:rPr>
      </w:pPr>
    </w:p>
    <w:p w14:paraId="36897855">
      <w:pPr>
        <w:spacing w:line="244" w:lineRule="auto"/>
        <w:rPr>
          <w:rFonts w:ascii="Arial"/>
          <w:sz w:val="21"/>
        </w:rPr>
      </w:pPr>
    </w:p>
    <w:p w14:paraId="162BD48D">
      <w:pPr>
        <w:spacing w:line="245" w:lineRule="auto"/>
        <w:rPr>
          <w:rFonts w:ascii="Arial"/>
          <w:sz w:val="21"/>
        </w:rPr>
      </w:pPr>
    </w:p>
    <w:p w14:paraId="610C083A">
      <w:pPr>
        <w:spacing w:line="245" w:lineRule="auto"/>
        <w:rPr>
          <w:rFonts w:ascii="Arial"/>
          <w:sz w:val="21"/>
        </w:rPr>
      </w:pPr>
    </w:p>
    <w:p w14:paraId="4184D1EC">
      <w:pPr>
        <w:spacing w:line="245" w:lineRule="auto"/>
        <w:rPr>
          <w:rFonts w:ascii="Arial"/>
          <w:sz w:val="21"/>
        </w:rPr>
      </w:pPr>
    </w:p>
    <w:p w14:paraId="50CF0BA0">
      <w:pPr>
        <w:spacing w:line="245" w:lineRule="auto"/>
        <w:rPr>
          <w:rFonts w:ascii="Arial"/>
          <w:sz w:val="21"/>
        </w:rPr>
      </w:pPr>
    </w:p>
    <w:p w14:paraId="20A27544">
      <w:pPr>
        <w:pStyle w:val="3"/>
        <w:spacing w:before="169" w:line="222" w:lineRule="auto"/>
        <w:jc w:val="center"/>
        <w:outlineLvl w:val="0"/>
        <w:rPr>
          <w:sz w:val="52"/>
          <w:szCs w:val="52"/>
        </w:rPr>
      </w:pPr>
      <w:bookmarkStart w:id="4" w:name="_Toc9981"/>
      <w:bookmarkStart w:id="5" w:name="_Toc29608"/>
      <w:r>
        <w:rPr>
          <w:rFonts w:hint="eastAsia"/>
          <w:spacing w:val="-2"/>
          <w:sz w:val="52"/>
          <w:szCs w:val="52"/>
          <w:lang w:val="en-US" w:eastAsia="zh-CN"/>
        </w:rPr>
        <w:t>棉花公证检验 现场检验</w:t>
      </w:r>
      <w:r>
        <w:rPr>
          <w:spacing w:val="-2"/>
          <w:sz w:val="52"/>
          <w:szCs w:val="52"/>
        </w:rPr>
        <w:t>安全管理规范</w:t>
      </w:r>
      <w:bookmarkEnd w:id="4"/>
      <w:bookmarkEnd w:id="5"/>
    </w:p>
    <w:p w14:paraId="1FA6203F">
      <w:pPr>
        <w:spacing w:line="364" w:lineRule="auto"/>
        <w:rPr>
          <w:rFonts w:ascii="Arial"/>
          <w:sz w:val="21"/>
        </w:rPr>
      </w:pPr>
    </w:p>
    <w:p w14:paraId="00B5B2D4">
      <w:pPr>
        <w:spacing w:before="81" w:line="193" w:lineRule="auto"/>
        <w:ind w:left="644"/>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Cotton notarization inspection——s</w:t>
      </w:r>
      <w:r>
        <w:rPr>
          <w:rFonts w:hint="eastAsia" w:ascii="Times New Roman" w:hAnsi="Times New Roman" w:eastAsia="Times New Roman" w:cs="Times New Roman"/>
          <w:sz w:val="28"/>
          <w:szCs w:val="28"/>
        </w:rPr>
        <w:t>afety management</w:t>
      </w:r>
      <w:r>
        <w:rPr>
          <w:rFonts w:hint="eastAsia" w:ascii="Times New Roman" w:hAnsi="Times New Roman" w:eastAsia="宋体" w:cs="Times New Roman"/>
          <w:sz w:val="28"/>
          <w:szCs w:val="28"/>
          <w:lang w:val="en-US" w:eastAsia="zh-CN"/>
        </w:rPr>
        <w:t xml:space="preserve">  specification of  inspection on site</w:t>
      </w:r>
    </w:p>
    <w:p w14:paraId="049E99DF">
      <w:pPr>
        <w:spacing w:before="81" w:line="193" w:lineRule="auto"/>
        <w:ind w:left="644"/>
        <w:jc w:val="center"/>
        <w:rPr>
          <w:rFonts w:hint="eastAsia" w:ascii="Times New Roman" w:hAnsi="Times New Roman" w:eastAsia="宋体" w:cs="Times New Roman"/>
          <w:sz w:val="28"/>
          <w:szCs w:val="28"/>
          <w:lang w:val="en-US" w:eastAsia="zh-CN"/>
        </w:rPr>
      </w:pPr>
    </w:p>
    <w:p w14:paraId="5348F2F5">
      <w:pPr>
        <w:spacing w:before="81" w:line="193" w:lineRule="auto"/>
        <w:ind w:left="644"/>
        <w:rPr>
          <w:rFonts w:hint="eastAsia" w:ascii="Times New Roman" w:hAnsi="Times New Roman" w:eastAsia="宋体" w:cs="Times New Roman"/>
          <w:sz w:val="28"/>
          <w:szCs w:val="28"/>
          <w:lang w:val="en-US" w:eastAsia="zh-CN"/>
        </w:rPr>
      </w:pPr>
    </w:p>
    <w:p w14:paraId="4E3EB31C">
      <w:pPr>
        <w:spacing w:before="81" w:line="193" w:lineRule="auto"/>
        <w:ind w:left="644"/>
        <w:rPr>
          <w:rFonts w:hint="eastAsia" w:ascii="Times New Roman" w:hAnsi="Times New Roman" w:eastAsia="宋体" w:cs="Times New Roman"/>
          <w:sz w:val="28"/>
          <w:szCs w:val="28"/>
          <w:lang w:val="en-US" w:eastAsia="zh-CN"/>
        </w:rPr>
      </w:pPr>
    </w:p>
    <w:p w14:paraId="737CC0F0">
      <w:pPr>
        <w:spacing w:line="435" w:lineRule="auto"/>
        <w:rPr>
          <w:rFonts w:hint="default" w:ascii="Arial" w:eastAsia="宋体"/>
          <w:sz w:val="21"/>
          <w:lang w:val="en-US" w:eastAsia="zh-CN"/>
        </w:rPr>
      </w:pPr>
      <w:r>
        <w:rPr>
          <w:rFonts w:hint="eastAsia" w:ascii="Times New Roman" w:hAnsi="Times New Roman" w:eastAsia="宋体" w:cs="Times New Roman"/>
          <w:sz w:val="28"/>
          <w:szCs w:val="28"/>
          <w:lang w:val="en-US" w:eastAsia="zh-CN"/>
        </w:rPr>
        <w:t xml:space="preserve">  </w:t>
      </w:r>
    </w:p>
    <w:p w14:paraId="3EBC3006">
      <w:pPr>
        <w:spacing w:before="78" w:line="219" w:lineRule="auto"/>
        <w:jc w:val="center"/>
        <w:outlineLvl w:val="0"/>
        <w:rPr>
          <w:rFonts w:ascii="宋体" w:hAnsi="宋体" w:eastAsia="宋体" w:cs="宋体"/>
          <w:sz w:val="24"/>
          <w:szCs w:val="24"/>
        </w:rPr>
      </w:pPr>
      <w:bookmarkStart w:id="6" w:name="_Toc15267"/>
      <w:bookmarkStart w:id="7" w:name="_Toc14424"/>
      <w:r>
        <w:rPr>
          <w:rFonts w:ascii="宋体" w:hAnsi="宋体" w:eastAsia="宋体" w:cs="宋体"/>
          <w:spacing w:val="-3"/>
          <w:sz w:val="24"/>
          <w:szCs w:val="24"/>
        </w:rPr>
        <w:t>（</w:t>
      </w:r>
      <w:r>
        <w:rPr>
          <w:rFonts w:hint="eastAsia" w:ascii="宋体" w:hAnsi="宋体" w:eastAsia="宋体" w:cs="宋体"/>
          <w:spacing w:val="-3"/>
          <w:sz w:val="24"/>
          <w:szCs w:val="24"/>
          <w:lang w:val="en-US" w:eastAsia="zh-CN"/>
        </w:rPr>
        <w:t>征求意见稿</w:t>
      </w:r>
      <w:r>
        <w:rPr>
          <w:rFonts w:ascii="宋体" w:hAnsi="宋体" w:eastAsia="宋体" w:cs="宋体"/>
          <w:spacing w:val="-3"/>
          <w:sz w:val="24"/>
          <w:szCs w:val="24"/>
        </w:rPr>
        <w:t>）</w:t>
      </w:r>
      <w:bookmarkEnd w:id="6"/>
      <w:bookmarkEnd w:id="7"/>
    </w:p>
    <w:p w14:paraId="6D996E53">
      <w:pPr>
        <w:spacing w:before="2"/>
      </w:pPr>
    </w:p>
    <w:p w14:paraId="78DB4B2D">
      <w:pPr>
        <w:spacing w:before="2"/>
      </w:pPr>
    </w:p>
    <w:p w14:paraId="20948D99">
      <w:pPr>
        <w:spacing w:before="2"/>
      </w:pPr>
    </w:p>
    <w:p w14:paraId="50E96A8A">
      <w:pPr>
        <w:spacing w:before="2"/>
      </w:pPr>
    </w:p>
    <w:p w14:paraId="306F18B2">
      <w:pPr>
        <w:spacing w:before="2"/>
      </w:pPr>
    </w:p>
    <w:p w14:paraId="549F67A6">
      <w:pPr>
        <w:spacing w:before="2"/>
      </w:pPr>
    </w:p>
    <w:p w14:paraId="2E54DBFB">
      <w:pPr>
        <w:spacing w:before="1"/>
      </w:pPr>
    </w:p>
    <w:p w14:paraId="3DEF5336">
      <w:pPr>
        <w:spacing w:before="1"/>
      </w:pPr>
    </w:p>
    <w:p w14:paraId="1E84F1B2">
      <w:pPr>
        <w:spacing w:before="1"/>
      </w:pPr>
    </w:p>
    <w:p w14:paraId="0C44854F"/>
    <w:p w14:paraId="391B8251">
      <w:pPr>
        <w:spacing w:before="1"/>
      </w:pPr>
    </w:p>
    <w:p w14:paraId="21FA36D2">
      <w:pPr>
        <w:spacing w:before="1"/>
      </w:pPr>
    </w:p>
    <w:p w14:paraId="5AF205E9">
      <w:pPr>
        <w:spacing w:before="1"/>
      </w:pPr>
    </w:p>
    <w:p w14:paraId="5DAF2CB3">
      <w:pPr>
        <w:spacing w:before="1"/>
      </w:pPr>
      <w:r>
        <w:drawing>
          <wp:anchor distT="0" distB="0" distL="0" distR="0" simplePos="0" relativeHeight="251659264" behindDoc="0" locked="0" layoutInCell="0" allowOverlap="1">
            <wp:simplePos x="0" y="0"/>
            <wp:positionH relativeFrom="page">
              <wp:posOffset>899160</wp:posOffset>
            </wp:positionH>
            <wp:positionV relativeFrom="page">
              <wp:posOffset>8490585</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6"/>
                    <a:stretch>
                      <a:fillRect/>
                    </a:stretch>
                  </pic:blipFill>
                  <pic:spPr>
                    <a:xfrm>
                      <a:off x="0" y="0"/>
                      <a:ext cx="6120130" cy="9525"/>
                    </a:xfrm>
                    <a:prstGeom prst="rect">
                      <a:avLst/>
                    </a:prstGeom>
                  </pic:spPr>
                </pic:pic>
              </a:graphicData>
            </a:graphic>
          </wp:anchor>
        </w:drawing>
      </w:r>
    </w:p>
    <w:p w14:paraId="22205E5D">
      <w:pPr>
        <w:sectPr>
          <w:footerReference r:id="rId8" w:type="first"/>
          <w:footerReference r:id="rId6" w:type="default"/>
          <w:headerReference r:id="rId5" w:type="even"/>
          <w:footerReference r:id="rId7" w:type="even"/>
          <w:pgSz w:w="11906" w:h="16839"/>
          <w:pgMar w:top="936" w:right="770" w:bottom="0" w:left="1416" w:header="0" w:footer="0" w:gutter="0"/>
          <w:pgBorders>
            <w:top w:val="none" w:sz="0" w:space="0"/>
            <w:left w:val="none" w:sz="0" w:space="0"/>
            <w:bottom w:val="none" w:sz="0" w:space="0"/>
            <w:right w:val="none" w:sz="0" w:space="0"/>
          </w:pgBorders>
          <w:pgNumType w:fmt="upperRoman"/>
          <w:cols w:equalWidth="0" w:num="1">
            <w:col w:w="9720"/>
          </w:cols>
        </w:sectPr>
      </w:pPr>
    </w:p>
    <w:p w14:paraId="439FD96D">
      <w:pPr>
        <w:pStyle w:val="3"/>
        <w:spacing w:before="57" w:line="188" w:lineRule="auto"/>
        <w:ind w:left="5"/>
      </w:pPr>
      <w:r>
        <w:rPr>
          <w:rFonts w:ascii="Times New Roman" w:hAnsi="Times New Roman" w:eastAsia="Times New Roman" w:cs="Times New Roman"/>
          <w:spacing w:val="-2"/>
        </w:rPr>
        <w:t>202</w:t>
      </w:r>
      <w:r>
        <w:rPr>
          <w:rFonts w:hint="eastAsia" w:ascii="Times New Roman" w:hAnsi="Times New Roman" w:eastAsia="宋体" w:cs="Times New Roman"/>
          <w:spacing w:val="-2"/>
          <w:lang w:val="en-US" w:eastAsia="zh-CN"/>
        </w:rPr>
        <w:t>5</w:t>
      </w:r>
      <w:r>
        <w:rPr>
          <w:rFonts w:ascii="Times New Roman" w:hAnsi="Times New Roman" w:eastAsia="Times New Roman" w:cs="Times New Roman"/>
          <w:spacing w:val="-2"/>
        </w:rPr>
        <w:t xml:space="preserve"> </w:t>
      </w:r>
      <w:r>
        <w:rPr>
          <w:spacing w:val="-2"/>
        </w:rPr>
        <w:t>-</w:t>
      </w:r>
      <w:r>
        <w:rPr>
          <w:spacing w:val="-68"/>
        </w:rPr>
        <w:t xml:space="preserve"> </w:t>
      </w:r>
      <w:r>
        <w:rPr>
          <w:spacing w:val="-2"/>
        </w:rPr>
        <w:t>XX</w:t>
      </w:r>
      <w:r>
        <w:rPr>
          <w:spacing w:val="-66"/>
        </w:rPr>
        <w:t xml:space="preserve"> </w:t>
      </w:r>
      <w:r>
        <w:rPr>
          <w:spacing w:val="-2"/>
        </w:rPr>
        <w:t>-</w:t>
      </w:r>
      <w:r>
        <w:rPr>
          <w:spacing w:val="-65"/>
        </w:rPr>
        <w:t xml:space="preserve"> </w:t>
      </w:r>
      <w:r>
        <w:rPr>
          <w:spacing w:val="-2"/>
        </w:rPr>
        <w:t>XX</w:t>
      </w:r>
      <w:r>
        <w:rPr>
          <w:spacing w:val="-59"/>
        </w:rPr>
        <w:t xml:space="preserve"> </w:t>
      </w:r>
      <w:r>
        <w:rPr>
          <w:spacing w:val="-2"/>
        </w:rPr>
        <w:t>发布</w:t>
      </w:r>
    </w:p>
    <w:p w14:paraId="25206594">
      <w:pPr>
        <w:spacing w:line="14" w:lineRule="auto"/>
        <w:rPr>
          <w:rFonts w:ascii="Arial"/>
          <w:sz w:val="2"/>
        </w:rPr>
      </w:pPr>
      <w:r>
        <w:rPr>
          <w:rFonts w:ascii="Arial" w:hAnsi="Arial" w:eastAsia="Arial" w:cs="Arial"/>
          <w:sz w:val="2"/>
          <w:szCs w:val="2"/>
        </w:rPr>
        <w:br w:type="column"/>
      </w:r>
    </w:p>
    <w:p w14:paraId="6D6B2166">
      <w:pPr>
        <w:pStyle w:val="3"/>
        <w:spacing w:before="55" w:line="188" w:lineRule="auto"/>
        <w:sectPr>
          <w:footerReference r:id="rId9" w:type="default"/>
          <w:footerReference r:id="rId10" w:type="even"/>
          <w:type w:val="continuous"/>
          <w:pgSz w:w="11906" w:h="16839"/>
          <w:pgMar w:top="936" w:right="770" w:bottom="0" w:left="1416" w:header="0" w:footer="0" w:gutter="0"/>
          <w:pgBorders>
            <w:top w:val="none" w:sz="0" w:space="0"/>
            <w:left w:val="none" w:sz="0" w:space="0"/>
            <w:bottom w:val="none" w:sz="0" w:space="0"/>
            <w:right w:val="none" w:sz="0" w:space="0"/>
          </w:pgBorders>
          <w:pgNumType w:fmt="upperRoman"/>
          <w:cols w:equalWidth="0" w:num="2">
            <w:col w:w="7265" w:space="100"/>
            <w:col w:w="2356"/>
          </w:cols>
        </w:sectPr>
      </w:pPr>
      <w:r>
        <w:rPr>
          <w:rFonts w:ascii="Times New Roman" w:hAnsi="Times New Roman" w:eastAsia="Times New Roman" w:cs="Times New Roman"/>
          <w:spacing w:val="-3"/>
        </w:rPr>
        <w:t>202</w:t>
      </w:r>
      <w:r>
        <w:rPr>
          <w:rFonts w:hint="eastAsia" w:ascii="Times New Roman" w:hAnsi="Times New Roman" w:eastAsia="宋体" w:cs="Times New Roman"/>
          <w:spacing w:val="-3"/>
          <w:lang w:val="en-US" w:eastAsia="zh-CN"/>
        </w:rPr>
        <w:t>5</w:t>
      </w:r>
      <w:r>
        <w:rPr>
          <w:rFonts w:ascii="Times New Roman" w:hAnsi="Times New Roman" w:eastAsia="Times New Roman" w:cs="Times New Roman"/>
          <w:spacing w:val="-3"/>
        </w:rPr>
        <w:t xml:space="preserve"> </w:t>
      </w:r>
      <w:r>
        <w:rPr>
          <w:spacing w:val="-3"/>
        </w:rPr>
        <w:t>-</w:t>
      </w:r>
      <w:r>
        <w:rPr>
          <w:spacing w:val="-61"/>
        </w:rPr>
        <w:t xml:space="preserve"> </w:t>
      </w:r>
      <w:r>
        <w:rPr>
          <w:spacing w:val="-3"/>
        </w:rPr>
        <w:t>XX</w:t>
      </w:r>
      <w:r>
        <w:rPr>
          <w:spacing w:val="-66"/>
        </w:rPr>
        <w:t xml:space="preserve"> </w:t>
      </w:r>
      <w:r>
        <w:rPr>
          <w:spacing w:val="-3"/>
        </w:rPr>
        <w:t>-</w:t>
      </w:r>
      <w:r>
        <w:rPr>
          <w:spacing w:val="-67"/>
        </w:rPr>
        <w:t xml:space="preserve"> </w:t>
      </w:r>
      <w:r>
        <w:rPr>
          <w:spacing w:val="-3"/>
        </w:rPr>
        <w:t>XX</w:t>
      </w:r>
      <w:r>
        <w:rPr>
          <w:spacing w:val="-53"/>
        </w:rPr>
        <w:t xml:space="preserve"> </w:t>
      </w:r>
      <w:r>
        <w:rPr>
          <w:spacing w:val="-3"/>
        </w:rPr>
        <w:t>实施</w:t>
      </w:r>
    </w:p>
    <w:p w14:paraId="4A5F3D84">
      <w:pPr>
        <w:spacing w:line="351" w:lineRule="auto"/>
        <w:rPr>
          <w:rFonts w:ascii="Arial"/>
          <w:sz w:val="21"/>
        </w:rPr>
      </w:pPr>
    </w:p>
    <w:p w14:paraId="29F9990F">
      <w:pPr>
        <w:pStyle w:val="3"/>
        <w:spacing w:before="91" w:line="195" w:lineRule="auto"/>
        <w:ind w:left="1869"/>
      </w:pPr>
      <w:r>
        <w:rPr>
          <w:rFonts w:hint="eastAsia"/>
          <w:spacing w:val="35"/>
          <w:w w:val="125"/>
          <w:lang w:eastAsia="zh-CN"/>
        </w:rPr>
        <w:t>江苏省</w:t>
      </w:r>
      <w:r>
        <w:rPr>
          <w:spacing w:val="35"/>
          <w:w w:val="125"/>
        </w:rPr>
        <w:t>市场监督管理局</w:t>
      </w:r>
      <w:r>
        <w:rPr>
          <w:spacing w:val="30"/>
        </w:rPr>
        <w:t xml:space="preserve">    </w:t>
      </w:r>
      <w:r>
        <w:rPr>
          <w:spacing w:val="35"/>
          <w:w w:val="125"/>
          <w:position w:val="2"/>
        </w:rPr>
        <w:t>发 布</w:t>
      </w:r>
    </w:p>
    <w:p w14:paraId="74369FD4">
      <w:pPr>
        <w:spacing w:line="195" w:lineRule="auto"/>
        <w:sectPr>
          <w:type w:val="continuous"/>
          <w:pgSz w:w="11906" w:h="16839"/>
          <w:pgMar w:top="936" w:right="770" w:bottom="0" w:left="1416" w:header="0" w:footer="0" w:gutter="0"/>
          <w:pgBorders>
            <w:top w:val="none" w:sz="0" w:space="0"/>
            <w:left w:val="none" w:sz="0" w:space="0"/>
            <w:bottom w:val="none" w:sz="0" w:space="0"/>
            <w:right w:val="none" w:sz="0" w:space="0"/>
          </w:pgBorders>
          <w:pgNumType w:fmt="upperRoman"/>
          <w:cols w:equalWidth="0" w:num="1">
            <w:col w:w="9720"/>
          </w:cols>
        </w:sectPr>
      </w:pPr>
    </w:p>
    <w:p w14:paraId="2E94EC0F">
      <w:pPr>
        <w:spacing w:line="419" w:lineRule="auto"/>
        <w:jc w:val="right"/>
        <w:rPr>
          <w:rFonts w:hint="eastAsia" w:ascii="Arial" w:eastAsia="宋体"/>
          <w:sz w:val="21"/>
          <w:lang w:eastAsia="zh-CN"/>
        </w:rPr>
      </w:pPr>
      <w:r>
        <w:rPr>
          <w:rFonts w:hint="eastAsia" w:eastAsia="宋体"/>
          <w:position w:val="1"/>
          <w:sz w:val="20"/>
          <w:szCs w:val="20"/>
          <w:lang w:eastAsia="zh-CN"/>
        </w:rPr>
        <w:t>DB32/T XXXX-2024</w:t>
      </w:r>
    </w:p>
    <w:p w14:paraId="4D529E35">
      <w:pPr>
        <w:spacing w:before="133" w:line="186" w:lineRule="auto"/>
        <w:ind w:left="3761"/>
        <w:rPr>
          <w:rFonts w:ascii="微软雅黑" w:hAnsi="微软雅黑" w:eastAsia="微软雅黑" w:cs="微软雅黑"/>
          <w:sz w:val="31"/>
          <w:szCs w:val="31"/>
        </w:rPr>
      </w:pPr>
      <w:r>
        <w:rPr>
          <w:rFonts w:ascii="微软雅黑" w:hAnsi="微软雅黑" w:eastAsia="微软雅黑" w:cs="微软雅黑"/>
          <w:spacing w:val="-17"/>
          <w:sz w:val="31"/>
          <w:szCs w:val="31"/>
        </w:rPr>
        <w:t>目</w:t>
      </w:r>
      <w:r>
        <w:rPr>
          <w:rFonts w:ascii="微软雅黑" w:hAnsi="微软雅黑" w:eastAsia="微软雅黑" w:cs="微软雅黑"/>
          <w:sz w:val="31"/>
          <w:szCs w:val="31"/>
        </w:rPr>
        <w:t xml:space="preserve">       </w:t>
      </w:r>
      <w:r>
        <w:rPr>
          <w:rFonts w:ascii="微软雅黑" w:hAnsi="微软雅黑" w:eastAsia="微软雅黑" w:cs="微软雅黑"/>
          <w:spacing w:val="-17"/>
          <w:sz w:val="31"/>
          <w:szCs w:val="31"/>
        </w:rPr>
        <w:t>次</w:t>
      </w:r>
    </w:p>
    <w:p w14:paraId="2172A2B2">
      <w:pPr>
        <w:spacing w:line="264" w:lineRule="auto"/>
        <w:rPr>
          <w:rFonts w:ascii="Arial"/>
          <w:sz w:val="21"/>
        </w:rPr>
      </w:pPr>
    </w:p>
    <w:sdt>
      <w:sdtPr>
        <w:rPr>
          <w:rFonts w:ascii="宋体" w:hAnsi="宋体" w:eastAsia="宋体" w:cs="Arial"/>
          <w:snapToGrid w:val="0"/>
          <w:color w:val="000000"/>
          <w:kern w:val="0"/>
          <w:sz w:val="21"/>
          <w:szCs w:val="21"/>
          <w:lang w:val="en-US" w:eastAsia="en-US" w:bidi="ar-SA"/>
        </w:rPr>
        <w:id w:val="147451518"/>
        <w15:color w:val="DBDBDB"/>
        <w:docPartObj>
          <w:docPartGallery w:val="Table of Contents"/>
          <w:docPartUnique/>
        </w:docPartObj>
      </w:sdtPr>
      <w:sdtEndPr>
        <w:rPr>
          <w:rFonts w:ascii="宋体" w:hAnsi="宋体" w:eastAsia="宋体" w:cs="Arial"/>
          <w:snapToGrid w:val="0"/>
          <w:color w:val="000000"/>
          <w:kern w:val="0"/>
          <w:sz w:val="21"/>
          <w:szCs w:val="21"/>
          <w:lang w:val="en-US" w:eastAsia="en-US" w:bidi="ar-SA"/>
        </w:rPr>
      </w:sdtEndPr>
      <w:sdtContent>
        <w:p w14:paraId="14437014">
          <w:pPr>
            <w:tabs>
              <w:tab w:val="left" w:pos="1470"/>
              <w:tab w:val="center" w:pos="4764"/>
            </w:tabs>
            <w:spacing w:before="0" w:beforeLines="0" w:after="0" w:afterLines="0" w:line="240" w:lineRule="auto"/>
            <w:ind w:left="0" w:leftChars="0" w:right="0" w:rightChars="0" w:firstLine="0" w:firstLineChars="0"/>
            <w:jc w:val="left"/>
            <w:rPr>
              <w:rFonts w:hint="eastAsia" w:eastAsia="宋体"/>
              <w:lang w:val="en-US" w:eastAsia="zh-CN"/>
            </w:rPr>
          </w:pPr>
          <w:r>
            <w:rPr>
              <w:rFonts w:hint="eastAsia" w:ascii="宋体" w:hAnsi="宋体" w:eastAsia="宋体" w:cs="Arial"/>
              <w:snapToGrid w:val="0"/>
              <w:color w:val="000000"/>
              <w:kern w:val="0"/>
              <w:sz w:val="21"/>
              <w:szCs w:val="21"/>
              <w:lang w:val="en-US" w:eastAsia="zh-CN" w:bidi="ar-SA"/>
            </w:rPr>
            <w:tab/>
          </w:r>
        </w:p>
        <w:p w14:paraId="561B67BC">
          <w:pPr>
            <w:pStyle w:val="7"/>
            <w:shd w:val="clear"/>
            <w:tabs>
              <w:tab w:val="right" w:leader="dot" w:pos="9409"/>
            </w:tabs>
          </w:pPr>
          <w:r>
            <w:fldChar w:fldCharType="begin"/>
          </w:r>
          <w:r>
            <w:instrText xml:space="preserve">TOC \o "1-3" \h \u </w:instrText>
          </w:r>
          <w:r>
            <w:fldChar w:fldCharType="separate"/>
          </w:r>
        </w:p>
        <w:p w14:paraId="3F5A2520">
          <w:pPr>
            <w:pStyle w:val="7"/>
            <w:shd w:val="clear"/>
            <w:tabs>
              <w:tab w:val="right" w:leader="dot" w:pos="9409"/>
            </w:tabs>
          </w:pPr>
          <w:r>
            <w:fldChar w:fldCharType="begin"/>
          </w:r>
          <w:r>
            <w:instrText xml:space="preserve"> HYPERLINK \l _Toc24829 </w:instrText>
          </w:r>
          <w:r>
            <w:fldChar w:fldCharType="separate"/>
          </w:r>
          <w:r>
            <w:rPr>
              <w:spacing w:val="-2"/>
              <w:szCs w:val="31"/>
            </w:rPr>
            <w:t>前</w:t>
          </w:r>
          <w:r>
            <w:rPr>
              <w:spacing w:val="14"/>
              <w:szCs w:val="31"/>
            </w:rPr>
            <w:t xml:space="preserve">   </w:t>
          </w:r>
          <w:r>
            <w:rPr>
              <w:spacing w:val="-2"/>
              <w:szCs w:val="31"/>
            </w:rPr>
            <w:t>言</w:t>
          </w:r>
          <w:r>
            <w:tab/>
          </w:r>
          <w:r>
            <w:fldChar w:fldCharType="begin"/>
          </w:r>
          <w:r>
            <w:instrText xml:space="preserve"> PAGEREF _Toc24829 \h </w:instrText>
          </w:r>
          <w:r>
            <w:fldChar w:fldCharType="separate"/>
          </w:r>
          <w:r>
            <w:t>II</w:t>
          </w:r>
          <w:r>
            <w:fldChar w:fldCharType="end"/>
          </w:r>
          <w:r>
            <w:fldChar w:fldCharType="end"/>
          </w:r>
        </w:p>
        <w:p w14:paraId="1F1F3712">
          <w:pPr>
            <w:pStyle w:val="7"/>
            <w:shd w:val="clear"/>
            <w:tabs>
              <w:tab w:val="right" w:leader="dot" w:pos="9409"/>
            </w:tabs>
          </w:pPr>
          <w:r>
            <w:fldChar w:fldCharType="begin"/>
          </w:r>
          <w:r>
            <w:instrText xml:space="preserve"> HYPERLINK \l _Toc7419 </w:instrText>
          </w:r>
          <w:r>
            <w:fldChar w:fldCharType="separate"/>
          </w:r>
          <w:r>
            <w:rPr>
              <w:spacing w:val="-3"/>
              <w:szCs w:val="20"/>
            </w:rPr>
            <w:t>1</w:t>
          </w:r>
          <w:r>
            <w:rPr>
              <w:spacing w:val="10"/>
              <w:szCs w:val="20"/>
            </w:rPr>
            <w:t xml:space="preserve">  </w:t>
          </w:r>
          <w:r>
            <w:rPr>
              <w:spacing w:val="-3"/>
              <w:szCs w:val="20"/>
            </w:rPr>
            <w:t>范围</w:t>
          </w:r>
          <w:r>
            <w:tab/>
          </w:r>
          <w:r>
            <w:fldChar w:fldCharType="begin"/>
          </w:r>
          <w:r>
            <w:instrText xml:space="preserve"> PAGEREF _Toc7419 \h </w:instrText>
          </w:r>
          <w:r>
            <w:fldChar w:fldCharType="separate"/>
          </w:r>
          <w:r>
            <w:t>1</w:t>
          </w:r>
          <w:r>
            <w:fldChar w:fldCharType="end"/>
          </w:r>
          <w:r>
            <w:fldChar w:fldCharType="end"/>
          </w:r>
        </w:p>
        <w:p w14:paraId="7D73B2B6">
          <w:pPr>
            <w:pStyle w:val="7"/>
            <w:shd w:val="clear"/>
            <w:tabs>
              <w:tab w:val="right" w:leader="dot" w:pos="9409"/>
            </w:tabs>
          </w:pPr>
          <w:r>
            <w:fldChar w:fldCharType="begin"/>
          </w:r>
          <w:r>
            <w:instrText xml:space="preserve"> HYPERLINK \l _Toc6507 </w:instrText>
          </w:r>
          <w:r>
            <w:fldChar w:fldCharType="separate"/>
          </w:r>
          <w:r>
            <w:rPr>
              <w:spacing w:val="7"/>
              <w:szCs w:val="20"/>
            </w:rPr>
            <w:t>2  规范性引用文件</w:t>
          </w:r>
          <w:r>
            <w:tab/>
          </w:r>
          <w:r>
            <w:fldChar w:fldCharType="begin"/>
          </w:r>
          <w:r>
            <w:instrText xml:space="preserve"> PAGEREF _Toc6507 \h </w:instrText>
          </w:r>
          <w:r>
            <w:fldChar w:fldCharType="separate"/>
          </w:r>
          <w:r>
            <w:t>1</w:t>
          </w:r>
          <w:r>
            <w:fldChar w:fldCharType="end"/>
          </w:r>
          <w:r>
            <w:fldChar w:fldCharType="end"/>
          </w:r>
        </w:p>
        <w:p w14:paraId="6F08B121">
          <w:pPr>
            <w:pStyle w:val="7"/>
            <w:shd w:val="clear"/>
            <w:tabs>
              <w:tab w:val="right" w:leader="dot" w:pos="9409"/>
            </w:tabs>
          </w:pPr>
          <w:r>
            <w:fldChar w:fldCharType="begin"/>
          </w:r>
          <w:r>
            <w:instrText xml:space="preserve"> HYPERLINK \l _Toc9632 </w:instrText>
          </w:r>
          <w:r>
            <w:fldChar w:fldCharType="separate"/>
          </w:r>
          <w:r>
            <w:rPr>
              <w:spacing w:val="6"/>
              <w:szCs w:val="20"/>
            </w:rPr>
            <w:t>3  术语和定义</w:t>
          </w:r>
          <w:r>
            <w:tab/>
          </w:r>
          <w:r>
            <w:fldChar w:fldCharType="begin"/>
          </w:r>
          <w:r>
            <w:instrText xml:space="preserve"> PAGEREF _Toc9632 \h </w:instrText>
          </w:r>
          <w:r>
            <w:fldChar w:fldCharType="separate"/>
          </w:r>
          <w:r>
            <w:t>1</w:t>
          </w:r>
          <w:r>
            <w:fldChar w:fldCharType="end"/>
          </w:r>
          <w:r>
            <w:fldChar w:fldCharType="end"/>
          </w:r>
        </w:p>
        <w:p w14:paraId="77598BFD">
          <w:pPr>
            <w:pStyle w:val="7"/>
            <w:shd w:val="clear"/>
            <w:tabs>
              <w:tab w:val="right" w:leader="dot" w:pos="9409"/>
            </w:tabs>
          </w:pPr>
          <w:r>
            <w:fldChar w:fldCharType="begin"/>
          </w:r>
          <w:r>
            <w:instrText xml:space="preserve"> HYPERLINK \l _Toc9996 </w:instrText>
          </w:r>
          <w:r>
            <w:fldChar w:fldCharType="separate"/>
          </w:r>
          <w:r>
            <w:rPr>
              <w:spacing w:val="8"/>
              <w:szCs w:val="20"/>
            </w:rPr>
            <w:t xml:space="preserve">4  </w:t>
          </w:r>
          <w:r>
            <w:rPr>
              <w:rFonts w:hint="eastAsia" w:eastAsia="宋体"/>
              <w:spacing w:val="8"/>
              <w:szCs w:val="20"/>
              <w:lang w:val="en-US" w:eastAsia="zh-CN"/>
            </w:rPr>
            <w:t>领导作用与全员参与</w:t>
          </w:r>
          <w:r>
            <w:tab/>
          </w:r>
          <w:r>
            <w:fldChar w:fldCharType="begin"/>
          </w:r>
          <w:r>
            <w:instrText xml:space="preserve"> PAGEREF _Toc9996 \h </w:instrText>
          </w:r>
          <w:r>
            <w:fldChar w:fldCharType="separate"/>
          </w:r>
          <w:r>
            <w:t>2</w:t>
          </w:r>
          <w:r>
            <w:fldChar w:fldCharType="end"/>
          </w:r>
          <w:r>
            <w:fldChar w:fldCharType="end"/>
          </w:r>
        </w:p>
        <w:p w14:paraId="512AF0E3">
          <w:pPr>
            <w:pStyle w:val="8"/>
            <w:shd w:val="clear"/>
            <w:tabs>
              <w:tab w:val="right" w:leader="dot" w:pos="9409"/>
            </w:tabs>
          </w:pPr>
          <w:r>
            <w:fldChar w:fldCharType="begin"/>
          </w:r>
          <w:r>
            <w:instrText xml:space="preserve"> HYPERLINK \l _Toc22795 </w:instrText>
          </w:r>
          <w:r>
            <w:fldChar w:fldCharType="separate"/>
          </w:r>
          <w:r>
            <w:rPr>
              <w:spacing w:val="4"/>
              <w:szCs w:val="20"/>
            </w:rPr>
            <w:t>4.</w:t>
          </w:r>
          <w:r>
            <w:rPr>
              <w:rFonts w:hint="eastAsia"/>
              <w:spacing w:val="4"/>
              <w:szCs w:val="20"/>
              <w:lang w:val="en-US" w:eastAsia="zh-CN"/>
            </w:rPr>
            <w:t>1 领导作用</w:t>
          </w:r>
          <w:r>
            <w:tab/>
          </w:r>
          <w:r>
            <w:fldChar w:fldCharType="begin"/>
          </w:r>
          <w:r>
            <w:instrText xml:space="preserve"> PAGEREF _Toc22795 \h </w:instrText>
          </w:r>
          <w:r>
            <w:fldChar w:fldCharType="separate"/>
          </w:r>
          <w:r>
            <w:t>2</w:t>
          </w:r>
          <w:r>
            <w:fldChar w:fldCharType="end"/>
          </w:r>
          <w:r>
            <w:fldChar w:fldCharType="end"/>
          </w:r>
        </w:p>
        <w:p w14:paraId="0BF0301C">
          <w:pPr>
            <w:pStyle w:val="8"/>
            <w:shd w:val="clear"/>
            <w:tabs>
              <w:tab w:val="right" w:leader="dot" w:pos="9409"/>
            </w:tabs>
          </w:pPr>
          <w:r>
            <w:fldChar w:fldCharType="begin"/>
          </w:r>
          <w:r>
            <w:instrText xml:space="preserve"> HYPERLINK \l _Toc21734 </w:instrText>
          </w:r>
          <w:r>
            <w:fldChar w:fldCharType="separate"/>
          </w:r>
          <w:r>
            <w:rPr>
              <w:rFonts w:hint="eastAsia"/>
              <w:spacing w:val="4"/>
              <w:szCs w:val="20"/>
              <w:lang w:val="en-US" w:eastAsia="zh-CN"/>
            </w:rPr>
            <w:t>4.2 机构职责和权限</w:t>
          </w:r>
          <w:r>
            <w:tab/>
          </w:r>
          <w:r>
            <w:fldChar w:fldCharType="begin"/>
          </w:r>
          <w:r>
            <w:instrText xml:space="preserve"> PAGEREF _Toc21734 \h </w:instrText>
          </w:r>
          <w:r>
            <w:fldChar w:fldCharType="separate"/>
          </w:r>
          <w:r>
            <w:t>3</w:t>
          </w:r>
          <w:r>
            <w:fldChar w:fldCharType="end"/>
          </w:r>
          <w:r>
            <w:fldChar w:fldCharType="end"/>
          </w:r>
        </w:p>
        <w:p w14:paraId="57DBA8F4">
          <w:pPr>
            <w:pStyle w:val="7"/>
            <w:shd w:val="clear"/>
            <w:tabs>
              <w:tab w:val="right" w:leader="dot" w:pos="9409"/>
            </w:tabs>
            <w:ind w:firstLine="420" w:firstLineChars="200"/>
          </w:pPr>
          <w:r>
            <w:fldChar w:fldCharType="begin"/>
          </w:r>
          <w:r>
            <w:instrText xml:space="preserve"> HYPERLINK \l _Toc21734 </w:instrText>
          </w:r>
          <w:r>
            <w:fldChar w:fldCharType="separate"/>
          </w:r>
          <w:r>
            <w:rPr>
              <w:rFonts w:hint="eastAsia"/>
              <w:spacing w:val="4"/>
              <w:szCs w:val="20"/>
              <w:lang w:val="en-US" w:eastAsia="zh-CN"/>
            </w:rPr>
            <w:t>4.3 全员参与</w:t>
          </w:r>
          <w:r>
            <w:tab/>
          </w:r>
          <w:r>
            <w:fldChar w:fldCharType="begin"/>
          </w:r>
          <w:r>
            <w:instrText xml:space="preserve"> PAGEREF _Toc21734 \h </w:instrText>
          </w:r>
          <w:r>
            <w:fldChar w:fldCharType="separate"/>
          </w:r>
          <w:r>
            <w:t>3</w:t>
          </w:r>
          <w:r>
            <w:fldChar w:fldCharType="end"/>
          </w:r>
          <w:r>
            <w:fldChar w:fldCharType="end"/>
          </w:r>
        </w:p>
        <w:p w14:paraId="1D9A9CE1">
          <w:pPr>
            <w:pStyle w:val="7"/>
            <w:shd w:val="clear"/>
            <w:tabs>
              <w:tab w:val="right" w:leader="dot" w:pos="9409"/>
            </w:tabs>
          </w:pPr>
          <w:r>
            <w:fldChar w:fldCharType="begin"/>
          </w:r>
          <w:r>
            <w:instrText xml:space="preserve"> HYPERLINK \l _Toc6427 </w:instrText>
          </w:r>
          <w:r>
            <w:fldChar w:fldCharType="separate"/>
          </w:r>
          <w:r>
            <w:rPr>
              <w:rFonts w:hint="eastAsia"/>
              <w:spacing w:val="8"/>
              <w:szCs w:val="20"/>
              <w:lang w:val="en-US" w:eastAsia="zh-CN"/>
            </w:rPr>
            <w:t xml:space="preserve">5 </w:t>
          </w:r>
          <w:r>
            <w:rPr>
              <w:spacing w:val="8"/>
              <w:szCs w:val="20"/>
            </w:rPr>
            <w:t>场所环境与设备设施</w:t>
          </w:r>
          <w:r>
            <w:tab/>
          </w:r>
          <w:r>
            <w:fldChar w:fldCharType="begin"/>
          </w:r>
          <w:r>
            <w:instrText xml:space="preserve"> PAGEREF _Toc6427 \h </w:instrText>
          </w:r>
          <w:r>
            <w:fldChar w:fldCharType="separate"/>
          </w:r>
          <w:r>
            <w:t>4</w:t>
          </w:r>
          <w:r>
            <w:fldChar w:fldCharType="end"/>
          </w:r>
          <w:r>
            <w:fldChar w:fldCharType="end"/>
          </w:r>
        </w:p>
        <w:p w14:paraId="2376C8A1">
          <w:pPr>
            <w:pStyle w:val="8"/>
            <w:shd w:val="clear"/>
            <w:tabs>
              <w:tab w:val="right" w:leader="dot" w:pos="9409"/>
            </w:tabs>
          </w:pPr>
          <w:r>
            <w:fldChar w:fldCharType="begin"/>
          </w:r>
          <w:r>
            <w:instrText xml:space="preserve"> HYPERLINK \l _Toc25393 </w:instrText>
          </w:r>
          <w:r>
            <w:fldChar w:fldCharType="separate"/>
          </w:r>
          <w:r>
            <w:rPr>
              <w:rFonts w:hint="eastAsia"/>
              <w:spacing w:val="6"/>
              <w:szCs w:val="20"/>
              <w:lang w:val="en-US" w:eastAsia="zh-CN"/>
            </w:rPr>
            <w:t>5.1</w:t>
          </w:r>
          <w:r>
            <w:rPr>
              <w:spacing w:val="6"/>
              <w:szCs w:val="20"/>
            </w:rPr>
            <w:t xml:space="preserve">  场所环境</w:t>
          </w:r>
          <w:r>
            <w:tab/>
          </w:r>
          <w:r>
            <w:fldChar w:fldCharType="begin"/>
          </w:r>
          <w:r>
            <w:instrText xml:space="preserve"> PAGEREF _Toc25393 \h </w:instrText>
          </w:r>
          <w:r>
            <w:fldChar w:fldCharType="separate"/>
          </w:r>
          <w:r>
            <w:t>4</w:t>
          </w:r>
          <w:r>
            <w:fldChar w:fldCharType="end"/>
          </w:r>
          <w:r>
            <w:fldChar w:fldCharType="end"/>
          </w:r>
        </w:p>
        <w:p w14:paraId="5ADD1548">
          <w:pPr>
            <w:pStyle w:val="8"/>
            <w:shd w:val="clear"/>
            <w:tabs>
              <w:tab w:val="right" w:leader="dot" w:pos="9409"/>
            </w:tabs>
          </w:pPr>
          <w:r>
            <w:fldChar w:fldCharType="begin"/>
          </w:r>
          <w:r>
            <w:instrText xml:space="preserve"> HYPERLINK \l _Toc16069 </w:instrText>
          </w:r>
          <w:r>
            <w:fldChar w:fldCharType="separate"/>
          </w:r>
          <w:r>
            <w:rPr>
              <w:rFonts w:hint="eastAsia"/>
              <w:spacing w:val="5"/>
              <w:szCs w:val="20"/>
              <w:lang w:val="en-US" w:eastAsia="zh-CN"/>
            </w:rPr>
            <w:t>5.2</w:t>
          </w:r>
          <w:r>
            <w:rPr>
              <w:spacing w:val="5"/>
              <w:szCs w:val="20"/>
            </w:rPr>
            <w:t>设备设施</w:t>
          </w:r>
          <w:r>
            <w:tab/>
          </w:r>
          <w:r>
            <w:fldChar w:fldCharType="begin"/>
          </w:r>
          <w:r>
            <w:instrText xml:space="preserve"> PAGEREF _Toc16069 \h </w:instrText>
          </w:r>
          <w:r>
            <w:fldChar w:fldCharType="separate"/>
          </w:r>
          <w:r>
            <w:t>4</w:t>
          </w:r>
          <w:r>
            <w:fldChar w:fldCharType="end"/>
          </w:r>
          <w:r>
            <w:fldChar w:fldCharType="end"/>
          </w:r>
        </w:p>
        <w:p w14:paraId="49C21789">
          <w:pPr>
            <w:pStyle w:val="8"/>
            <w:shd w:val="clear"/>
            <w:tabs>
              <w:tab w:val="right" w:leader="dot" w:pos="9409"/>
            </w:tabs>
            <w:ind w:firstLine="0" w:firstLineChars="0"/>
          </w:pPr>
          <w:r>
            <w:fldChar w:fldCharType="begin"/>
          </w:r>
          <w:r>
            <w:instrText xml:space="preserve"> HYPERLINK \l _Toc1966 </w:instrText>
          </w:r>
          <w:r>
            <w:fldChar w:fldCharType="separate"/>
          </w:r>
          <w:r>
            <w:rPr>
              <w:rFonts w:hint="default"/>
              <w:spacing w:val="0"/>
              <w:szCs w:val="21"/>
              <w:lang w:val="en-US" w:eastAsia="zh-CN"/>
            </w:rPr>
            <w:t>5.3</w:t>
          </w:r>
          <w:r>
            <w:rPr>
              <w:spacing w:val="0"/>
              <w:szCs w:val="21"/>
            </w:rPr>
            <w:t xml:space="preserve"> </w:t>
          </w:r>
          <w:r>
            <w:rPr>
              <w:rFonts w:hint="default" w:eastAsia="Arial"/>
              <w:spacing w:val="0"/>
              <w:szCs w:val="21"/>
              <w:lang w:val="en-US" w:eastAsia="zh-CN"/>
            </w:rPr>
            <w:t>资金保障</w:t>
          </w:r>
          <w:r>
            <w:tab/>
          </w:r>
          <w:r>
            <w:fldChar w:fldCharType="begin"/>
          </w:r>
          <w:r>
            <w:instrText xml:space="preserve"> PAGEREF _Toc1966 \h </w:instrText>
          </w:r>
          <w:r>
            <w:fldChar w:fldCharType="separate"/>
          </w:r>
          <w:r>
            <w:t>5</w:t>
          </w:r>
          <w:r>
            <w:fldChar w:fldCharType="end"/>
          </w:r>
          <w:r>
            <w:fldChar w:fldCharType="end"/>
          </w:r>
        </w:p>
        <w:p w14:paraId="0A205D88">
          <w:pPr>
            <w:pStyle w:val="8"/>
            <w:shd w:val="clear"/>
            <w:tabs>
              <w:tab w:val="right" w:leader="dot" w:pos="9409"/>
            </w:tabs>
            <w:ind w:left="0" w:leftChars="0" w:firstLine="0" w:firstLineChars="0"/>
            <w:rPr>
              <w:rFonts w:hint="eastAsia" w:eastAsia="宋体"/>
              <w:lang w:val="en-US" w:eastAsia="zh-CN"/>
            </w:rPr>
          </w:pPr>
          <w:r>
            <w:rPr>
              <w:rFonts w:hint="eastAsia" w:eastAsia="宋体"/>
              <w:lang w:val="en-US" w:eastAsia="zh-CN"/>
            </w:rPr>
            <w:t>6   管理要素</w:t>
          </w:r>
          <w:r>
            <w:tab/>
          </w:r>
          <w:r>
            <w:rPr>
              <w:rFonts w:hint="eastAsia" w:eastAsia="宋体"/>
              <w:lang w:val="en-US" w:eastAsia="zh-CN"/>
            </w:rPr>
            <w:t>8</w:t>
          </w:r>
        </w:p>
        <w:p w14:paraId="08B0886F">
          <w:pPr>
            <w:pStyle w:val="8"/>
            <w:shd w:val="clear"/>
            <w:tabs>
              <w:tab w:val="right" w:leader="dot" w:pos="9409"/>
            </w:tabs>
          </w:pPr>
          <w:r>
            <w:fldChar w:fldCharType="begin"/>
          </w:r>
          <w:r>
            <w:instrText xml:space="preserve"> HYPERLINK \l _Toc2581 </w:instrText>
          </w:r>
          <w:r>
            <w:fldChar w:fldCharType="separate"/>
          </w:r>
          <w:r>
            <w:rPr>
              <w:rFonts w:hint="eastAsia"/>
              <w:spacing w:val="8"/>
              <w:szCs w:val="20"/>
              <w:lang w:val="en-US" w:eastAsia="zh-CN"/>
            </w:rPr>
            <w:t xml:space="preserve">6.1 </w:t>
          </w:r>
          <w:r>
            <w:rPr>
              <w:spacing w:val="8"/>
              <w:szCs w:val="20"/>
            </w:rPr>
            <w:t>危险源辨识和安全风险评价</w:t>
          </w:r>
          <w:r>
            <w:tab/>
          </w:r>
          <w:r>
            <w:fldChar w:fldCharType="begin"/>
          </w:r>
          <w:r>
            <w:instrText xml:space="preserve"> PAGEREF _Toc2581 \h </w:instrText>
          </w:r>
          <w:r>
            <w:fldChar w:fldCharType="separate"/>
          </w:r>
          <w:r>
            <w:t>5</w:t>
          </w:r>
          <w:r>
            <w:fldChar w:fldCharType="end"/>
          </w:r>
          <w:r>
            <w:fldChar w:fldCharType="end"/>
          </w:r>
        </w:p>
        <w:p w14:paraId="673BE094">
          <w:pPr>
            <w:pStyle w:val="8"/>
            <w:shd w:val="clear"/>
            <w:tabs>
              <w:tab w:val="right" w:leader="dot" w:pos="9409"/>
            </w:tabs>
          </w:pPr>
          <w:r>
            <w:fldChar w:fldCharType="begin"/>
          </w:r>
          <w:r>
            <w:instrText xml:space="preserve"> HYPERLINK \l _Toc3329 </w:instrText>
          </w:r>
          <w:r>
            <w:fldChar w:fldCharType="separate"/>
          </w:r>
          <w:r>
            <w:rPr>
              <w:rFonts w:hint="eastAsia"/>
              <w:spacing w:val="7"/>
              <w:szCs w:val="20"/>
              <w:lang w:val="en-US" w:eastAsia="zh-CN"/>
            </w:rPr>
            <w:t>6</w:t>
          </w:r>
          <w:r>
            <w:rPr>
              <w:spacing w:val="7"/>
              <w:szCs w:val="20"/>
            </w:rPr>
            <w:t>.</w:t>
          </w:r>
          <w:r>
            <w:rPr>
              <w:rFonts w:hint="eastAsia"/>
              <w:spacing w:val="7"/>
              <w:szCs w:val="20"/>
              <w:lang w:val="en-US" w:eastAsia="zh-CN"/>
            </w:rPr>
            <w:t>2</w:t>
          </w:r>
          <w:r>
            <w:rPr>
              <w:spacing w:val="7"/>
              <w:szCs w:val="20"/>
            </w:rPr>
            <w:t xml:space="preserve"> 法律法规要求和其他要求</w:t>
          </w:r>
          <w:r>
            <w:tab/>
          </w:r>
          <w:r>
            <w:fldChar w:fldCharType="begin"/>
          </w:r>
          <w:r>
            <w:instrText xml:space="preserve"> PAGEREF _Toc3329 \h </w:instrText>
          </w:r>
          <w:r>
            <w:fldChar w:fldCharType="separate"/>
          </w:r>
          <w:r>
            <w:t>5</w:t>
          </w:r>
          <w:r>
            <w:fldChar w:fldCharType="end"/>
          </w:r>
          <w:r>
            <w:fldChar w:fldCharType="end"/>
          </w:r>
        </w:p>
        <w:p w14:paraId="71FC80C2">
          <w:pPr>
            <w:pStyle w:val="8"/>
            <w:shd w:val="clear"/>
            <w:tabs>
              <w:tab w:val="right" w:leader="dot" w:pos="9409"/>
            </w:tabs>
          </w:pPr>
          <w:r>
            <w:fldChar w:fldCharType="begin"/>
          </w:r>
          <w:r>
            <w:instrText xml:space="preserve"> HYPERLINK \l _Toc21802 </w:instrText>
          </w:r>
          <w:r>
            <w:fldChar w:fldCharType="separate"/>
          </w:r>
          <w:r>
            <w:rPr>
              <w:rFonts w:hint="eastAsia"/>
              <w:spacing w:val="6"/>
              <w:szCs w:val="20"/>
              <w:lang w:val="en-US" w:eastAsia="zh-CN"/>
            </w:rPr>
            <w:t>6.3 运行</w:t>
          </w:r>
          <w:r>
            <w:rPr>
              <w:spacing w:val="6"/>
              <w:szCs w:val="20"/>
            </w:rPr>
            <w:t>的策划</w:t>
          </w:r>
          <w:r>
            <w:tab/>
          </w:r>
          <w:r>
            <w:fldChar w:fldCharType="begin"/>
          </w:r>
          <w:r>
            <w:instrText xml:space="preserve"> PAGEREF _Toc21802 \h </w:instrText>
          </w:r>
          <w:r>
            <w:fldChar w:fldCharType="separate"/>
          </w:r>
          <w:r>
            <w:t>6</w:t>
          </w:r>
          <w:r>
            <w:fldChar w:fldCharType="end"/>
          </w:r>
          <w:r>
            <w:fldChar w:fldCharType="end"/>
          </w:r>
        </w:p>
        <w:p w14:paraId="1198DAD2">
          <w:pPr>
            <w:pStyle w:val="8"/>
            <w:shd w:val="clear"/>
            <w:tabs>
              <w:tab w:val="right" w:leader="dot" w:pos="9409"/>
            </w:tabs>
          </w:pPr>
          <w:r>
            <w:fldChar w:fldCharType="begin"/>
          </w:r>
          <w:r>
            <w:instrText xml:space="preserve"> HYPERLINK \l _Toc25918 </w:instrText>
          </w:r>
          <w:r>
            <w:fldChar w:fldCharType="separate"/>
          </w:r>
          <w:r>
            <w:rPr>
              <w:rFonts w:hint="eastAsia"/>
              <w:spacing w:val="6"/>
              <w:szCs w:val="20"/>
              <w:lang w:val="en-US" w:eastAsia="zh-CN"/>
            </w:rPr>
            <w:t>6.4</w:t>
          </w:r>
          <w:r>
            <w:rPr>
              <w:spacing w:val="6"/>
              <w:szCs w:val="20"/>
            </w:rPr>
            <w:t xml:space="preserve"> </w:t>
          </w:r>
          <w:r>
            <w:rPr>
              <w:rFonts w:hint="eastAsia"/>
              <w:spacing w:val="6"/>
              <w:szCs w:val="20"/>
              <w:lang w:val="en-US" w:eastAsia="zh-CN"/>
            </w:rPr>
            <w:t>运行的</w:t>
          </w:r>
          <w:r>
            <w:rPr>
              <w:spacing w:val="6"/>
              <w:szCs w:val="20"/>
            </w:rPr>
            <w:t>控制</w:t>
          </w:r>
          <w:r>
            <w:tab/>
          </w:r>
          <w:r>
            <w:fldChar w:fldCharType="begin"/>
          </w:r>
          <w:r>
            <w:instrText xml:space="preserve"> PAGEREF _Toc25918 \h </w:instrText>
          </w:r>
          <w:r>
            <w:fldChar w:fldCharType="separate"/>
          </w:r>
          <w:r>
            <w:t>6</w:t>
          </w:r>
          <w:r>
            <w:fldChar w:fldCharType="end"/>
          </w:r>
          <w:r>
            <w:fldChar w:fldCharType="end"/>
          </w:r>
        </w:p>
        <w:p w14:paraId="7AA02DE6">
          <w:pPr>
            <w:pStyle w:val="8"/>
            <w:shd w:val="clear"/>
            <w:tabs>
              <w:tab w:val="right" w:leader="dot" w:pos="9409"/>
            </w:tabs>
          </w:pPr>
          <w:r>
            <w:fldChar w:fldCharType="begin"/>
          </w:r>
          <w:r>
            <w:instrText xml:space="preserve"> HYPERLINK \l _Toc13195 </w:instrText>
          </w:r>
          <w:r>
            <w:fldChar w:fldCharType="separate"/>
          </w:r>
          <w:r>
            <w:rPr>
              <w:rFonts w:hint="eastAsia"/>
              <w:spacing w:val="7"/>
              <w:szCs w:val="20"/>
              <w:lang w:val="en-US" w:eastAsia="zh-CN"/>
            </w:rPr>
            <w:t xml:space="preserve">6.5 </w:t>
          </w:r>
          <w:r>
            <w:rPr>
              <w:spacing w:val="7"/>
              <w:szCs w:val="20"/>
            </w:rPr>
            <w:t>应急准备与响应</w:t>
          </w:r>
          <w:r>
            <w:tab/>
          </w:r>
          <w:r>
            <w:fldChar w:fldCharType="begin"/>
          </w:r>
          <w:r>
            <w:instrText xml:space="preserve"> PAGEREF _Toc13195 \h </w:instrText>
          </w:r>
          <w:r>
            <w:fldChar w:fldCharType="separate"/>
          </w:r>
          <w:r>
            <w:t>6</w:t>
          </w:r>
          <w:r>
            <w:fldChar w:fldCharType="end"/>
          </w:r>
          <w:r>
            <w:fldChar w:fldCharType="end"/>
          </w:r>
        </w:p>
        <w:p w14:paraId="2AD94D47">
          <w:pPr>
            <w:pStyle w:val="8"/>
            <w:shd w:val="clear"/>
            <w:tabs>
              <w:tab w:val="right" w:leader="dot" w:pos="9409"/>
            </w:tabs>
          </w:pPr>
          <w:r>
            <w:fldChar w:fldCharType="begin"/>
          </w:r>
          <w:r>
            <w:instrText xml:space="preserve"> HYPERLINK \l _Toc29595 </w:instrText>
          </w:r>
          <w:r>
            <w:fldChar w:fldCharType="separate"/>
          </w:r>
          <w:r>
            <w:rPr>
              <w:rFonts w:hint="eastAsia"/>
              <w:spacing w:val="4"/>
              <w:szCs w:val="20"/>
              <w:lang w:val="en-US" w:eastAsia="zh-CN"/>
            </w:rPr>
            <w:t>6</w:t>
          </w:r>
          <w:r>
            <w:rPr>
              <w:spacing w:val="4"/>
              <w:szCs w:val="20"/>
            </w:rPr>
            <w:t>.</w:t>
          </w:r>
          <w:r>
            <w:rPr>
              <w:rFonts w:hint="eastAsia"/>
              <w:spacing w:val="4"/>
              <w:szCs w:val="20"/>
              <w:lang w:val="en-US" w:eastAsia="zh-CN"/>
            </w:rPr>
            <w:t>6</w:t>
          </w:r>
          <w:r>
            <w:rPr>
              <w:spacing w:val="13"/>
              <w:szCs w:val="20"/>
            </w:rPr>
            <w:t xml:space="preserve">  </w:t>
          </w:r>
          <w:r>
            <w:rPr>
              <w:spacing w:val="4"/>
              <w:szCs w:val="20"/>
            </w:rPr>
            <w:t>事故管理</w:t>
          </w:r>
          <w:r>
            <w:tab/>
          </w:r>
          <w:r>
            <w:fldChar w:fldCharType="begin"/>
          </w:r>
          <w:r>
            <w:instrText xml:space="preserve"> PAGEREF _Toc29595 \h </w:instrText>
          </w:r>
          <w:r>
            <w:fldChar w:fldCharType="separate"/>
          </w:r>
          <w:r>
            <w:t>6</w:t>
          </w:r>
          <w:r>
            <w:fldChar w:fldCharType="end"/>
          </w:r>
          <w:r>
            <w:fldChar w:fldCharType="end"/>
          </w:r>
        </w:p>
        <w:p w14:paraId="68823B9B">
          <w:pPr>
            <w:pStyle w:val="7"/>
            <w:shd w:val="clear"/>
            <w:tabs>
              <w:tab w:val="right" w:leader="dot" w:pos="9409"/>
            </w:tabs>
          </w:pPr>
          <w:r>
            <w:fldChar w:fldCharType="begin"/>
          </w:r>
          <w:r>
            <w:instrText xml:space="preserve"> HYPERLINK \l _Toc4976 </w:instrText>
          </w:r>
          <w:r>
            <w:fldChar w:fldCharType="separate"/>
          </w:r>
          <w:r>
            <w:rPr>
              <w:rFonts w:hint="eastAsia"/>
              <w:spacing w:val="8"/>
              <w:szCs w:val="20"/>
              <w:lang w:val="en-US" w:eastAsia="zh-CN"/>
            </w:rPr>
            <w:t>7</w:t>
          </w:r>
          <w:r>
            <w:rPr>
              <w:spacing w:val="8"/>
              <w:szCs w:val="20"/>
            </w:rPr>
            <w:t xml:space="preserve"> 监视</w:t>
          </w:r>
          <w:r>
            <w:rPr>
              <w:rFonts w:hint="eastAsia"/>
              <w:spacing w:val="8"/>
              <w:szCs w:val="20"/>
              <w:lang w:eastAsia="zh-CN"/>
            </w:rPr>
            <w:t>、</w:t>
          </w:r>
          <w:r>
            <w:rPr>
              <w:spacing w:val="8"/>
              <w:szCs w:val="20"/>
            </w:rPr>
            <w:t>分析和评价</w:t>
          </w:r>
          <w:r>
            <w:tab/>
          </w:r>
          <w:r>
            <w:fldChar w:fldCharType="begin"/>
          </w:r>
          <w:r>
            <w:instrText xml:space="preserve"> PAGEREF _Toc4976 \h </w:instrText>
          </w:r>
          <w:r>
            <w:fldChar w:fldCharType="separate"/>
          </w:r>
          <w:r>
            <w:t>7</w:t>
          </w:r>
          <w:r>
            <w:fldChar w:fldCharType="end"/>
          </w:r>
          <w:r>
            <w:fldChar w:fldCharType="end"/>
          </w:r>
        </w:p>
        <w:p w14:paraId="20327970">
          <w:pPr>
            <w:pStyle w:val="8"/>
            <w:shd w:val="clear"/>
            <w:tabs>
              <w:tab w:val="right" w:leader="dot" w:pos="9409"/>
            </w:tabs>
          </w:pPr>
          <w:r>
            <w:fldChar w:fldCharType="begin"/>
          </w:r>
          <w:r>
            <w:instrText xml:space="preserve"> HYPERLINK \l _Toc8153 </w:instrText>
          </w:r>
          <w:r>
            <w:fldChar w:fldCharType="separate"/>
          </w:r>
          <w:r>
            <w:rPr>
              <w:rFonts w:hint="eastAsia"/>
              <w:spacing w:val="6"/>
              <w:szCs w:val="20"/>
              <w:lang w:val="en-US" w:eastAsia="zh-CN"/>
            </w:rPr>
            <w:t>7</w:t>
          </w:r>
          <w:r>
            <w:rPr>
              <w:spacing w:val="6"/>
              <w:szCs w:val="20"/>
            </w:rPr>
            <w:t>.</w:t>
          </w:r>
          <w:r>
            <w:rPr>
              <w:rFonts w:hint="eastAsia"/>
              <w:spacing w:val="6"/>
              <w:szCs w:val="20"/>
              <w:lang w:val="en-US" w:eastAsia="zh-CN"/>
            </w:rPr>
            <w:t>1</w:t>
          </w:r>
          <w:r>
            <w:rPr>
              <w:spacing w:val="6"/>
              <w:szCs w:val="20"/>
            </w:rPr>
            <w:t xml:space="preserve"> 合规性评价</w:t>
          </w:r>
          <w:r>
            <w:tab/>
          </w:r>
          <w:r>
            <w:fldChar w:fldCharType="begin"/>
          </w:r>
          <w:r>
            <w:instrText xml:space="preserve"> PAGEREF _Toc8153 \h </w:instrText>
          </w:r>
          <w:r>
            <w:fldChar w:fldCharType="separate"/>
          </w:r>
          <w:r>
            <w:t>7</w:t>
          </w:r>
          <w:r>
            <w:fldChar w:fldCharType="end"/>
          </w:r>
          <w:r>
            <w:fldChar w:fldCharType="end"/>
          </w:r>
        </w:p>
        <w:p w14:paraId="01307777">
          <w:pPr>
            <w:pStyle w:val="8"/>
            <w:shd w:val="clear"/>
            <w:tabs>
              <w:tab w:val="right" w:leader="dot" w:pos="9409"/>
            </w:tabs>
          </w:pPr>
          <w:r>
            <w:fldChar w:fldCharType="begin"/>
          </w:r>
          <w:r>
            <w:instrText xml:space="preserve"> HYPERLINK \l _Toc20013 </w:instrText>
          </w:r>
          <w:r>
            <w:fldChar w:fldCharType="separate"/>
          </w:r>
          <w:r>
            <w:rPr>
              <w:rFonts w:hint="eastAsia"/>
              <w:spacing w:val="7"/>
              <w:szCs w:val="20"/>
              <w:lang w:val="en-US" w:eastAsia="zh-CN"/>
            </w:rPr>
            <w:t>7</w:t>
          </w:r>
          <w:r>
            <w:rPr>
              <w:spacing w:val="7"/>
              <w:szCs w:val="20"/>
            </w:rPr>
            <w:t>.</w:t>
          </w:r>
          <w:r>
            <w:rPr>
              <w:rFonts w:hint="eastAsia"/>
              <w:spacing w:val="7"/>
              <w:szCs w:val="20"/>
              <w:lang w:val="en-US" w:eastAsia="zh-CN"/>
            </w:rPr>
            <w:t>2</w:t>
          </w:r>
          <w:r>
            <w:rPr>
              <w:spacing w:val="7"/>
              <w:szCs w:val="20"/>
            </w:rPr>
            <w:t xml:space="preserve"> 职业病危害检测与评价</w:t>
          </w:r>
          <w:r>
            <w:tab/>
          </w:r>
          <w:r>
            <w:fldChar w:fldCharType="begin"/>
          </w:r>
          <w:r>
            <w:instrText xml:space="preserve"> PAGEREF _Toc20013 \h </w:instrText>
          </w:r>
          <w:r>
            <w:fldChar w:fldCharType="separate"/>
          </w:r>
          <w:r>
            <w:t>7</w:t>
          </w:r>
          <w:r>
            <w:fldChar w:fldCharType="end"/>
          </w:r>
          <w:r>
            <w:fldChar w:fldCharType="end"/>
          </w:r>
        </w:p>
        <w:p w14:paraId="01850DA7">
          <w:pPr>
            <w:pStyle w:val="8"/>
            <w:shd w:val="clear"/>
            <w:tabs>
              <w:tab w:val="right" w:leader="dot" w:pos="9409"/>
            </w:tabs>
          </w:pPr>
          <w:r>
            <w:fldChar w:fldCharType="begin"/>
          </w:r>
          <w:r>
            <w:instrText xml:space="preserve"> HYPERLINK \l _Toc32246 </w:instrText>
          </w:r>
          <w:r>
            <w:fldChar w:fldCharType="separate"/>
          </w:r>
          <w:r>
            <w:rPr>
              <w:rFonts w:hint="eastAsia"/>
              <w:spacing w:val="5"/>
              <w:szCs w:val="20"/>
              <w:lang w:val="en-US" w:eastAsia="zh-CN"/>
            </w:rPr>
            <w:t>7</w:t>
          </w:r>
          <w:r>
            <w:rPr>
              <w:spacing w:val="5"/>
              <w:szCs w:val="20"/>
            </w:rPr>
            <w:t>.</w:t>
          </w:r>
          <w:r>
            <w:rPr>
              <w:rFonts w:hint="eastAsia"/>
              <w:spacing w:val="5"/>
              <w:szCs w:val="20"/>
              <w:lang w:val="en-US" w:eastAsia="zh-CN"/>
            </w:rPr>
            <w:t>3</w:t>
          </w:r>
          <w:r>
            <w:rPr>
              <w:spacing w:val="14"/>
              <w:szCs w:val="20"/>
            </w:rPr>
            <w:t xml:space="preserve"> </w:t>
          </w:r>
          <w:r>
            <w:rPr>
              <w:spacing w:val="5"/>
              <w:szCs w:val="20"/>
            </w:rPr>
            <w:t>员工健康检查</w:t>
          </w:r>
          <w:r>
            <w:tab/>
          </w:r>
          <w:r>
            <w:fldChar w:fldCharType="begin"/>
          </w:r>
          <w:r>
            <w:instrText xml:space="preserve"> PAGEREF _Toc32246 \h </w:instrText>
          </w:r>
          <w:r>
            <w:fldChar w:fldCharType="separate"/>
          </w:r>
          <w:r>
            <w:t>7</w:t>
          </w:r>
          <w:r>
            <w:fldChar w:fldCharType="end"/>
          </w:r>
          <w:r>
            <w:fldChar w:fldCharType="end"/>
          </w:r>
        </w:p>
        <w:p w14:paraId="3CE027C2">
          <w:pPr>
            <w:pStyle w:val="8"/>
            <w:shd w:val="clear"/>
            <w:tabs>
              <w:tab w:val="right" w:leader="dot" w:pos="9409"/>
            </w:tabs>
          </w:pPr>
          <w:r>
            <w:fldChar w:fldCharType="begin"/>
          </w:r>
          <w:r>
            <w:instrText xml:space="preserve"> HYPERLINK \l _Toc24062 </w:instrText>
          </w:r>
          <w:r>
            <w:fldChar w:fldCharType="separate"/>
          </w:r>
          <w:r>
            <w:rPr>
              <w:rFonts w:hint="eastAsia"/>
              <w:spacing w:val="5"/>
              <w:szCs w:val="20"/>
              <w:lang w:val="en-US" w:eastAsia="zh-CN"/>
            </w:rPr>
            <w:t>7</w:t>
          </w:r>
          <w:r>
            <w:rPr>
              <w:spacing w:val="5"/>
              <w:szCs w:val="20"/>
            </w:rPr>
            <w:t>.</w:t>
          </w:r>
          <w:r>
            <w:rPr>
              <w:rFonts w:hint="eastAsia"/>
              <w:spacing w:val="5"/>
              <w:szCs w:val="20"/>
              <w:lang w:val="en-US" w:eastAsia="zh-CN"/>
            </w:rPr>
            <w:t>4</w:t>
          </w:r>
          <w:r>
            <w:rPr>
              <w:spacing w:val="9"/>
              <w:szCs w:val="20"/>
            </w:rPr>
            <w:t xml:space="preserve">  </w:t>
          </w:r>
          <w:r>
            <w:rPr>
              <w:spacing w:val="5"/>
              <w:szCs w:val="20"/>
            </w:rPr>
            <w:t>绩效评定</w:t>
          </w:r>
          <w:r>
            <w:tab/>
          </w:r>
          <w:r>
            <w:fldChar w:fldCharType="begin"/>
          </w:r>
          <w:r>
            <w:instrText xml:space="preserve"> PAGEREF _Toc24062 \h </w:instrText>
          </w:r>
          <w:r>
            <w:fldChar w:fldCharType="separate"/>
          </w:r>
          <w:r>
            <w:t>7</w:t>
          </w:r>
          <w:r>
            <w:fldChar w:fldCharType="end"/>
          </w:r>
          <w:r>
            <w:fldChar w:fldCharType="end"/>
          </w:r>
        </w:p>
        <w:p w14:paraId="788ECDEF">
          <w:pPr>
            <w:shd w:val="clear"/>
          </w:pPr>
          <w:r>
            <w:rPr>
              <w:rFonts w:hint="eastAsia" w:eastAsia="宋体"/>
              <w:lang w:val="en-US" w:eastAsia="zh-CN"/>
            </w:rPr>
            <w:t>附录A（资料性）</w:t>
          </w:r>
          <w:r>
            <w:rPr>
              <w:rFonts w:hint="eastAsia" w:eastAsia="宋体"/>
              <w:lang w:eastAsia="zh-CN"/>
            </w:rPr>
            <w:t>棉花公证检验人员个体防护装备配置方案</w:t>
          </w:r>
          <w:r>
            <w:tab/>
          </w:r>
        </w:p>
        <w:p w14:paraId="29C90E33">
          <w:pPr>
            <w:shd w:val="clear"/>
            <w:rPr>
              <w:rFonts w:hint="default" w:eastAsia="宋体"/>
              <w:lang w:val="en-US" w:eastAsia="zh-CN"/>
            </w:rPr>
          </w:pPr>
          <w:r>
            <w:rPr>
              <w:rFonts w:hint="eastAsia" w:eastAsia="宋体"/>
              <w:lang w:val="en-US" w:eastAsia="zh-CN"/>
            </w:rPr>
            <w:t>附录B （资料性）</w:t>
          </w:r>
          <w:r>
            <w:rPr>
              <w:rFonts w:hint="eastAsia" w:eastAsia="宋体"/>
              <w:lang w:eastAsia="zh-CN"/>
            </w:rPr>
            <w:t>棉花公证检验现场主要危险源及管控措施</w:t>
          </w:r>
        </w:p>
        <w:p w14:paraId="7688BF47">
          <w:pPr>
            <w:shd w:val="clear"/>
          </w:pPr>
          <w:r>
            <w:fldChar w:fldCharType="end"/>
          </w:r>
        </w:p>
      </w:sdtContent>
    </w:sdt>
    <w:p w14:paraId="3085D68C">
      <w:pPr>
        <w:shd w:val="clear"/>
        <w:spacing w:line="251" w:lineRule="auto"/>
        <w:jc w:val="right"/>
        <w:rPr>
          <w:rFonts w:hint="eastAsia" w:eastAsia="宋体"/>
          <w:position w:val="1"/>
          <w:sz w:val="20"/>
          <w:szCs w:val="20"/>
          <w:lang w:eastAsia="zh-CN"/>
        </w:rPr>
        <w:sectPr>
          <w:footerReference r:id="rId12" w:type="first"/>
          <w:footerReference r:id="rId11" w:type="default"/>
          <w:pgSz w:w="11906" w:h="16839"/>
          <w:pgMar w:top="1406" w:right="1073" w:bottom="1312" w:left="1424" w:header="0" w:footer="1134" w:gutter="0"/>
          <w:pgBorders>
            <w:top w:val="none" w:sz="0" w:space="0"/>
            <w:left w:val="none" w:sz="0" w:space="0"/>
            <w:bottom w:val="none" w:sz="0" w:space="0"/>
            <w:right w:val="none" w:sz="0" w:space="0"/>
          </w:pgBorders>
          <w:pgNumType w:fmt="upperRoman" w:start="1"/>
          <w:cols w:space="720" w:num="1"/>
          <w:titlePg/>
        </w:sectPr>
      </w:pPr>
    </w:p>
    <w:p w14:paraId="56CF1040">
      <w:pPr>
        <w:spacing w:line="251" w:lineRule="auto"/>
        <w:rPr>
          <w:rFonts w:ascii="Arial"/>
          <w:sz w:val="21"/>
        </w:rPr>
      </w:pPr>
      <w:r>
        <w:rPr>
          <w:rFonts w:hint="eastAsia" w:eastAsia="宋体"/>
          <w:position w:val="1"/>
          <w:sz w:val="20"/>
          <w:szCs w:val="20"/>
          <w:lang w:val="en-US" w:eastAsia="zh-CN"/>
        </w:rPr>
        <w:t xml:space="preserve"> </w:t>
      </w:r>
    </w:p>
    <w:p w14:paraId="744B9831">
      <w:pPr>
        <w:spacing w:line="252" w:lineRule="auto"/>
        <w:rPr>
          <w:rFonts w:ascii="Arial"/>
          <w:sz w:val="21"/>
        </w:rPr>
      </w:pPr>
    </w:p>
    <w:p w14:paraId="5DEB12D9">
      <w:pPr>
        <w:pStyle w:val="3"/>
        <w:spacing w:before="100" w:line="228" w:lineRule="auto"/>
        <w:ind w:left="3760"/>
        <w:outlineLvl w:val="0"/>
        <w:rPr>
          <w:sz w:val="31"/>
          <w:szCs w:val="31"/>
        </w:rPr>
      </w:pPr>
      <w:bookmarkStart w:id="8" w:name="_Toc24829"/>
      <w:r>
        <w:rPr>
          <w:spacing w:val="-2"/>
          <w:sz w:val="31"/>
          <w:szCs w:val="31"/>
        </w:rPr>
        <w:t>前</w:t>
      </w:r>
      <w:r>
        <w:rPr>
          <w:spacing w:val="14"/>
          <w:sz w:val="31"/>
          <w:szCs w:val="31"/>
        </w:rPr>
        <w:t xml:space="preserve">   </w:t>
      </w:r>
      <w:r>
        <w:rPr>
          <w:spacing w:val="-2"/>
          <w:sz w:val="31"/>
          <w:szCs w:val="31"/>
        </w:rPr>
        <w:t>言</w:t>
      </w:r>
      <w:bookmarkEnd w:id="8"/>
    </w:p>
    <w:p w14:paraId="15F26702">
      <w:pPr>
        <w:spacing w:line="262" w:lineRule="auto"/>
        <w:rPr>
          <w:rFonts w:ascii="Arial"/>
          <w:sz w:val="21"/>
        </w:rPr>
      </w:pPr>
    </w:p>
    <w:p w14:paraId="5483EB31">
      <w:pPr>
        <w:spacing w:before="65" w:line="324" w:lineRule="exact"/>
        <w:rPr>
          <w:rFonts w:hint="eastAsia" w:ascii="宋体" w:hAnsi="宋体" w:eastAsia="宋体" w:cs="宋体"/>
          <w:spacing w:val="7"/>
          <w:position w:val="8"/>
          <w:sz w:val="20"/>
          <w:szCs w:val="20"/>
        </w:rPr>
      </w:pPr>
    </w:p>
    <w:p w14:paraId="05CB5159">
      <w:pPr>
        <w:spacing w:before="0" w:line="240" w:lineRule="auto"/>
        <w:ind w:firstLine="448" w:firstLineChars="200"/>
        <w:rPr>
          <w:rFonts w:hint="eastAsia" w:ascii="宋体" w:hAnsi="宋体" w:eastAsia="宋体" w:cs="宋体"/>
          <w:spacing w:val="7"/>
          <w:position w:val="8"/>
          <w:sz w:val="21"/>
          <w:szCs w:val="21"/>
        </w:rPr>
      </w:pPr>
      <w:r>
        <w:rPr>
          <w:rFonts w:hint="eastAsia" w:ascii="宋体" w:hAnsi="宋体" w:eastAsia="宋体" w:cs="宋体"/>
          <w:spacing w:val="7"/>
          <w:position w:val="8"/>
          <w:sz w:val="21"/>
          <w:szCs w:val="21"/>
        </w:rPr>
        <w:t>本文件按照GB/T 1.1</w:t>
      </w:r>
      <w:r>
        <w:rPr>
          <w:rFonts w:hint="eastAsia" w:ascii="宋体" w:hAnsi="宋体" w:eastAsia="宋体" w:cs="宋体"/>
          <w:spacing w:val="7"/>
          <w:position w:val="8"/>
          <w:sz w:val="21"/>
          <w:szCs w:val="21"/>
          <w:lang w:val="en-US" w:eastAsia="zh-CN"/>
        </w:rPr>
        <w:t>-</w:t>
      </w:r>
      <w:r>
        <w:rPr>
          <w:rFonts w:hint="eastAsia" w:ascii="宋体" w:hAnsi="宋体" w:eastAsia="宋体" w:cs="宋体"/>
          <w:spacing w:val="7"/>
          <w:position w:val="8"/>
          <w:sz w:val="21"/>
          <w:szCs w:val="21"/>
        </w:rPr>
        <w:t>2020《标准化工作导则</w:t>
      </w:r>
      <w:r>
        <w:rPr>
          <w:rFonts w:hint="eastAsia" w:ascii="宋体" w:hAnsi="宋体" w:eastAsia="宋体" w:cs="宋体"/>
          <w:spacing w:val="7"/>
          <w:position w:val="8"/>
          <w:sz w:val="21"/>
          <w:szCs w:val="21"/>
          <w:lang w:val="en-US" w:eastAsia="zh-CN"/>
        </w:rPr>
        <w:t xml:space="preserve"> </w:t>
      </w:r>
      <w:r>
        <w:rPr>
          <w:rFonts w:hint="eastAsia" w:ascii="宋体" w:hAnsi="宋体" w:eastAsia="宋体" w:cs="宋体"/>
          <w:spacing w:val="7"/>
          <w:position w:val="8"/>
          <w:sz w:val="21"/>
          <w:szCs w:val="21"/>
        </w:rPr>
        <w:t>第1部分:标准化文件的结构和起草规则》的规定起草。</w:t>
      </w:r>
    </w:p>
    <w:p w14:paraId="590A1769">
      <w:pPr>
        <w:spacing w:before="0" w:line="240" w:lineRule="auto"/>
        <w:ind w:left="61" w:firstLine="448" w:firstLineChars="200"/>
        <w:rPr>
          <w:rFonts w:hint="eastAsia" w:ascii="宋体" w:hAnsi="宋体" w:eastAsia="宋体" w:cs="宋体"/>
          <w:spacing w:val="7"/>
          <w:position w:val="8"/>
          <w:sz w:val="21"/>
          <w:szCs w:val="21"/>
          <w:lang w:eastAsia="zh-CN"/>
        </w:rPr>
      </w:pPr>
      <w:r>
        <w:rPr>
          <w:rFonts w:hint="eastAsia" w:ascii="宋体" w:hAnsi="宋体" w:eastAsia="宋体" w:cs="宋体"/>
          <w:spacing w:val="7"/>
          <w:position w:val="8"/>
          <w:sz w:val="21"/>
          <w:szCs w:val="21"/>
        </w:rPr>
        <w:t>请注意本文件的某些内容可能涉及专利。本文件的发布机构不承担识别专利的责任</w:t>
      </w:r>
      <w:r>
        <w:rPr>
          <w:rFonts w:hint="eastAsia" w:ascii="宋体" w:hAnsi="宋体" w:eastAsia="宋体" w:cs="宋体"/>
          <w:spacing w:val="7"/>
          <w:position w:val="8"/>
          <w:sz w:val="21"/>
          <w:szCs w:val="21"/>
          <w:lang w:eastAsia="zh-CN"/>
        </w:rPr>
        <w:t>。</w:t>
      </w:r>
    </w:p>
    <w:p w14:paraId="32C8A830">
      <w:pPr>
        <w:spacing w:before="0" w:line="240" w:lineRule="auto"/>
        <w:ind w:left="61" w:firstLine="448" w:firstLineChars="200"/>
        <w:rPr>
          <w:rFonts w:hint="eastAsia" w:ascii="宋体" w:hAnsi="宋体" w:eastAsia="宋体" w:cs="宋体"/>
          <w:spacing w:val="7"/>
          <w:position w:val="8"/>
          <w:sz w:val="21"/>
          <w:szCs w:val="21"/>
        </w:rPr>
      </w:pPr>
      <w:r>
        <w:rPr>
          <w:rFonts w:hint="eastAsia" w:ascii="宋体" w:hAnsi="宋体" w:eastAsia="宋体" w:cs="宋体"/>
          <w:spacing w:val="7"/>
          <w:position w:val="8"/>
          <w:sz w:val="21"/>
          <w:szCs w:val="21"/>
        </w:rPr>
        <w:t>本文件由江苏省纤维检验局提出。</w:t>
      </w:r>
    </w:p>
    <w:p w14:paraId="1119AC6C">
      <w:pPr>
        <w:spacing w:before="0" w:line="240" w:lineRule="auto"/>
        <w:ind w:left="61" w:firstLine="448" w:firstLineChars="200"/>
        <w:rPr>
          <w:rFonts w:hint="eastAsia" w:ascii="宋体" w:hAnsi="宋体" w:eastAsia="宋体" w:cs="宋体"/>
          <w:spacing w:val="7"/>
          <w:position w:val="8"/>
          <w:sz w:val="21"/>
          <w:szCs w:val="21"/>
        </w:rPr>
      </w:pPr>
      <w:r>
        <w:rPr>
          <w:rFonts w:hint="eastAsia" w:ascii="宋体" w:hAnsi="宋体" w:eastAsia="宋体" w:cs="宋体"/>
          <w:spacing w:val="7"/>
          <w:position w:val="8"/>
          <w:sz w:val="21"/>
          <w:szCs w:val="21"/>
        </w:rPr>
        <w:t>本文件由江苏省市场监督管理局归口。</w:t>
      </w:r>
    </w:p>
    <w:p w14:paraId="31774588">
      <w:pPr>
        <w:spacing w:before="0" w:line="240" w:lineRule="auto"/>
        <w:ind w:left="61" w:firstLine="448" w:firstLineChars="200"/>
        <w:rPr>
          <w:rFonts w:hint="eastAsia" w:ascii="宋体" w:hAnsi="宋体" w:eastAsia="宋体" w:cs="宋体"/>
          <w:spacing w:val="7"/>
          <w:position w:val="8"/>
          <w:sz w:val="21"/>
          <w:szCs w:val="21"/>
          <w:lang w:val="en-US" w:eastAsia="zh-CN"/>
        </w:rPr>
      </w:pPr>
      <w:r>
        <w:rPr>
          <w:rFonts w:hint="eastAsia" w:ascii="宋体" w:hAnsi="宋体" w:eastAsia="宋体" w:cs="宋体"/>
          <w:spacing w:val="7"/>
          <w:position w:val="8"/>
          <w:sz w:val="21"/>
          <w:szCs w:val="21"/>
        </w:rPr>
        <w:t>本文件起草单位:</w:t>
      </w:r>
      <w:r>
        <w:rPr>
          <w:rFonts w:hint="eastAsia" w:ascii="宋体" w:hAnsi="宋体" w:eastAsia="宋体" w:cs="宋体"/>
          <w:spacing w:val="7"/>
          <w:position w:val="8"/>
          <w:sz w:val="21"/>
          <w:szCs w:val="21"/>
          <w:lang w:val="en-US" w:eastAsia="zh-CN"/>
        </w:rPr>
        <w:t xml:space="preserve"> 江苏省纤维检验局、盐城市纤维检验所、扬州市检验检测中心、常州市食品药品纤维质量监督检验中心、方圆规划研究（江苏）有限公司。</w:t>
      </w:r>
    </w:p>
    <w:p w14:paraId="0CFFE93D">
      <w:pPr>
        <w:spacing w:before="0" w:line="240" w:lineRule="auto"/>
        <w:ind w:left="61" w:firstLine="448" w:firstLineChars="200"/>
        <w:rPr>
          <w:rFonts w:hint="eastAsia" w:ascii="宋体" w:hAnsi="宋体" w:eastAsia="宋体" w:cs="宋体"/>
          <w:spacing w:val="7"/>
          <w:position w:val="8"/>
          <w:sz w:val="21"/>
          <w:szCs w:val="21"/>
          <w:lang w:val="en-US" w:eastAsia="zh-CN"/>
        </w:rPr>
      </w:pPr>
      <w:r>
        <w:rPr>
          <w:rFonts w:hint="eastAsia" w:ascii="宋体" w:hAnsi="宋体" w:eastAsia="宋体" w:cs="宋体"/>
          <w:spacing w:val="7"/>
          <w:position w:val="8"/>
          <w:sz w:val="21"/>
          <w:szCs w:val="21"/>
        </w:rPr>
        <w:t>本文件主要起草人:</w:t>
      </w:r>
      <w:r>
        <w:rPr>
          <w:rFonts w:hint="eastAsia" w:ascii="宋体" w:hAnsi="宋体" w:eastAsia="宋体" w:cs="宋体"/>
          <w:spacing w:val="7"/>
          <w:position w:val="8"/>
          <w:sz w:val="21"/>
          <w:szCs w:val="21"/>
          <w:lang w:val="en-US" w:eastAsia="zh-CN"/>
        </w:rPr>
        <w:t>主要</w:t>
      </w:r>
      <w:r>
        <w:rPr>
          <w:rFonts w:hint="eastAsia" w:ascii="宋体" w:hAnsi="宋体" w:eastAsia="宋体" w:cs="宋体"/>
          <w:spacing w:val="7"/>
          <w:position w:val="8"/>
          <w:sz w:val="21"/>
          <w:szCs w:val="21"/>
        </w:rPr>
        <w:t>起草人员</w:t>
      </w:r>
      <w:r>
        <w:rPr>
          <w:rFonts w:hint="eastAsia" w:ascii="宋体" w:hAnsi="宋体" w:eastAsia="宋体" w:cs="宋体"/>
          <w:spacing w:val="7"/>
          <w:position w:val="8"/>
          <w:sz w:val="21"/>
          <w:szCs w:val="21"/>
          <w:lang w:val="en-US" w:eastAsia="zh-CN"/>
        </w:rPr>
        <w:t>徐力、张凌、徐红辉、袁琴、姜锋、邬健、卢裕坡</w:t>
      </w:r>
      <w:bookmarkStart w:id="58" w:name="_GoBack"/>
      <w:bookmarkEnd w:id="58"/>
      <w:r>
        <w:rPr>
          <w:rFonts w:hint="eastAsia" w:ascii="宋体" w:hAnsi="宋体" w:eastAsia="宋体" w:cs="宋体"/>
          <w:spacing w:val="7"/>
          <w:position w:val="8"/>
          <w:sz w:val="21"/>
          <w:szCs w:val="21"/>
          <w:lang w:val="en-US" w:eastAsia="zh-CN"/>
        </w:rPr>
        <w:t xml:space="preserve">、徐鸿燕。 </w:t>
      </w:r>
    </w:p>
    <w:p w14:paraId="4B3FB7D0">
      <w:pPr>
        <w:pStyle w:val="3"/>
        <w:spacing w:before="178" w:line="227" w:lineRule="auto"/>
        <w:ind w:left="2303"/>
        <w:jc w:val="right"/>
        <w:rPr>
          <w:rFonts w:hint="eastAsia" w:ascii="宋体" w:hAnsi="宋体" w:eastAsia="宋体" w:cs="宋体"/>
          <w:spacing w:val="7"/>
          <w:position w:val="8"/>
          <w:sz w:val="20"/>
          <w:szCs w:val="20"/>
          <w:lang w:val="en-US" w:eastAsia="zh-CN"/>
        </w:rPr>
      </w:pPr>
      <w:r>
        <w:rPr>
          <w:rFonts w:hint="eastAsia" w:ascii="宋体" w:hAnsi="宋体" w:eastAsia="宋体" w:cs="宋体"/>
          <w:spacing w:val="7"/>
          <w:position w:val="8"/>
          <w:sz w:val="20"/>
          <w:szCs w:val="20"/>
          <w:lang w:val="en-US" w:eastAsia="zh-CN"/>
        </w:rPr>
        <w:t xml:space="preserve"> </w:t>
      </w:r>
    </w:p>
    <w:p w14:paraId="5DA9240C">
      <w:pPr>
        <w:pStyle w:val="3"/>
        <w:spacing w:before="178" w:line="227" w:lineRule="auto"/>
        <w:ind w:left="2303"/>
        <w:jc w:val="right"/>
        <w:rPr>
          <w:rFonts w:hint="eastAsia"/>
          <w:position w:val="1"/>
          <w:sz w:val="20"/>
          <w:szCs w:val="20"/>
          <w:lang w:eastAsia="zh-CN"/>
        </w:rPr>
        <w:sectPr>
          <w:headerReference r:id="rId13" w:type="default"/>
          <w:pgSz w:w="11907" w:h="16839"/>
          <w:pgMar w:top="1440" w:right="1287" w:bottom="1440" w:left="1800" w:header="1144" w:footer="0" w:gutter="0"/>
          <w:pgBorders>
            <w:top w:val="none" w:sz="0" w:space="0"/>
            <w:left w:val="none" w:sz="0" w:space="0"/>
            <w:bottom w:val="none" w:sz="0" w:space="0"/>
            <w:right w:val="none" w:sz="0" w:space="0"/>
          </w:pgBorders>
          <w:pgNumType w:fmt="upperRoman"/>
          <w:cols w:space="720" w:num="1"/>
        </w:sectPr>
      </w:pPr>
    </w:p>
    <w:p w14:paraId="46E408A2">
      <w:pPr>
        <w:pStyle w:val="3"/>
        <w:spacing w:before="178" w:line="227" w:lineRule="auto"/>
        <w:ind w:left="2303"/>
        <w:outlineLvl w:val="0"/>
        <w:rPr>
          <w:sz w:val="31"/>
          <w:szCs w:val="31"/>
        </w:rPr>
      </w:pPr>
      <w:bookmarkStart w:id="9" w:name="_Toc16511"/>
      <w:r>
        <w:rPr>
          <w:rFonts w:hint="eastAsia"/>
          <w:position w:val="1"/>
          <w:sz w:val="20"/>
          <w:szCs w:val="20"/>
          <w:lang w:val="en-US" w:eastAsia="zh-CN"/>
        </w:rPr>
        <w:t xml:space="preserve"> </w:t>
      </w:r>
      <w:r>
        <w:rPr>
          <w:rFonts w:hint="eastAsia"/>
          <w:spacing w:val="9"/>
          <w:sz w:val="31"/>
          <w:szCs w:val="31"/>
          <w:lang w:eastAsia="zh-CN"/>
        </w:rPr>
        <w:t>棉花公证检验</w:t>
      </w:r>
      <w:r>
        <w:rPr>
          <w:rFonts w:hint="eastAsia"/>
          <w:spacing w:val="9"/>
          <w:sz w:val="31"/>
          <w:szCs w:val="31"/>
          <w:lang w:val="en-US" w:eastAsia="zh-CN"/>
        </w:rPr>
        <w:t xml:space="preserve"> </w:t>
      </w:r>
      <w:r>
        <w:rPr>
          <w:rFonts w:hint="eastAsia"/>
          <w:spacing w:val="9"/>
          <w:sz w:val="31"/>
          <w:szCs w:val="31"/>
          <w:lang w:eastAsia="zh-CN"/>
        </w:rPr>
        <w:t>现场</w:t>
      </w:r>
      <w:r>
        <w:rPr>
          <w:rFonts w:hint="eastAsia"/>
          <w:spacing w:val="9"/>
          <w:sz w:val="31"/>
          <w:szCs w:val="31"/>
          <w:lang w:val="en-US" w:eastAsia="zh-CN"/>
        </w:rPr>
        <w:t>检验</w:t>
      </w:r>
      <w:r>
        <w:rPr>
          <w:spacing w:val="9"/>
          <w:sz w:val="31"/>
          <w:szCs w:val="31"/>
        </w:rPr>
        <w:t>安全管理规范</w:t>
      </w:r>
      <w:bookmarkEnd w:id="9"/>
    </w:p>
    <w:p w14:paraId="7971DF85">
      <w:pPr>
        <w:spacing w:line="282" w:lineRule="auto"/>
        <w:rPr>
          <w:rFonts w:ascii="Arial"/>
          <w:sz w:val="21"/>
        </w:rPr>
      </w:pPr>
    </w:p>
    <w:p w14:paraId="5C95A0CD">
      <w:pPr>
        <w:spacing w:line="282" w:lineRule="auto"/>
        <w:rPr>
          <w:rFonts w:ascii="Arial"/>
          <w:sz w:val="21"/>
        </w:rPr>
      </w:pPr>
    </w:p>
    <w:p w14:paraId="652CC4EE">
      <w:pPr>
        <w:pStyle w:val="3"/>
        <w:spacing w:before="0" w:beforeLines="100" w:afterLines="100" w:line="240" w:lineRule="auto"/>
        <w:ind w:left="0"/>
        <w:outlineLvl w:val="0"/>
        <w:rPr>
          <w:rFonts w:ascii="Arial"/>
          <w:sz w:val="21"/>
        </w:rPr>
      </w:pPr>
      <w:bookmarkStart w:id="10" w:name="_Toc7419"/>
      <w:r>
        <w:rPr>
          <w:spacing w:val="-3"/>
          <w:sz w:val="20"/>
          <w:szCs w:val="20"/>
        </w:rPr>
        <w:t>1</w:t>
      </w:r>
      <w:r>
        <w:rPr>
          <w:spacing w:val="10"/>
          <w:sz w:val="20"/>
          <w:szCs w:val="20"/>
        </w:rPr>
        <w:t xml:space="preserve">  </w:t>
      </w:r>
      <w:r>
        <w:rPr>
          <w:spacing w:val="-3"/>
          <w:sz w:val="20"/>
          <w:szCs w:val="20"/>
        </w:rPr>
        <w:t>范围</w:t>
      </w:r>
      <w:bookmarkEnd w:id="10"/>
    </w:p>
    <w:p w14:paraId="44CDC3B0">
      <w:pPr>
        <w:spacing w:before="0" w:line="240" w:lineRule="auto"/>
        <w:ind w:left="0" w:firstLine="436" w:firstLineChars="200"/>
        <w:rPr>
          <w:rFonts w:hint="eastAsia" w:ascii="宋体" w:hAnsi="宋体" w:eastAsia="宋体" w:cs="宋体"/>
          <w:color w:val="auto"/>
          <w:spacing w:val="9"/>
          <w:position w:val="7"/>
          <w:sz w:val="20"/>
          <w:szCs w:val="20"/>
          <w:lang w:eastAsia="zh-CN"/>
        </w:rPr>
      </w:pPr>
      <w:r>
        <w:rPr>
          <w:rFonts w:hint="eastAsia" w:ascii="宋体" w:hAnsi="宋体" w:eastAsia="宋体" w:cs="宋体"/>
          <w:spacing w:val="9"/>
          <w:sz w:val="20"/>
          <w:szCs w:val="20"/>
          <w:lang w:eastAsia="zh-CN"/>
        </w:rPr>
        <w:t>本文件</w:t>
      </w:r>
      <w:r>
        <w:rPr>
          <w:rFonts w:ascii="宋体" w:hAnsi="宋体" w:eastAsia="宋体" w:cs="宋体"/>
          <w:spacing w:val="9"/>
          <w:sz w:val="20"/>
          <w:szCs w:val="20"/>
        </w:rPr>
        <w:t>规定了</w:t>
      </w:r>
      <w:r>
        <w:rPr>
          <w:rFonts w:hint="eastAsia" w:ascii="宋体" w:hAnsi="宋体" w:eastAsia="宋体" w:cs="宋体"/>
          <w:spacing w:val="9"/>
          <w:sz w:val="20"/>
          <w:szCs w:val="20"/>
        </w:rPr>
        <w:t>棉花公证检验</w:t>
      </w:r>
      <w:r>
        <w:rPr>
          <w:rFonts w:hint="eastAsia" w:ascii="宋体" w:hAnsi="宋体" w:eastAsia="宋体" w:cs="宋体"/>
          <w:spacing w:val="9"/>
          <w:sz w:val="20"/>
          <w:szCs w:val="20"/>
          <w:lang w:eastAsia="zh-CN"/>
        </w:rPr>
        <w:t>现场检验</w:t>
      </w:r>
      <w:r>
        <w:rPr>
          <w:rFonts w:hint="eastAsia" w:ascii="宋体" w:hAnsi="宋体" w:eastAsia="宋体" w:cs="宋体"/>
          <w:spacing w:val="9"/>
          <w:sz w:val="20"/>
          <w:szCs w:val="20"/>
          <w:lang w:val="en-US" w:eastAsia="zh-CN"/>
        </w:rPr>
        <w:t>（以下简称现场检验）职业健康、卫生和</w:t>
      </w:r>
      <w:r>
        <w:rPr>
          <w:rFonts w:ascii="宋体" w:hAnsi="宋体" w:eastAsia="宋体" w:cs="宋体"/>
          <w:spacing w:val="9"/>
          <w:sz w:val="20"/>
          <w:szCs w:val="20"/>
        </w:rPr>
        <w:t>安全管理</w:t>
      </w:r>
      <w:r>
        <w:rPr>
          <w:rFonts w:hint="eastAsia" w:ascii="宋体" w:hAnsi="宋体" w:eastAsia="宋体" w:cs="宋体"/>
          <w:spacing w:val="9"/>
          <w:sz w:val="20"/>
          <w:szCs w:val="20"/>
          <w:lang w:val="en-US" w:eastAsia="zh-CN"/>
        </w:rPr>
        <w:t>的领导作用与全员参与</w:t>
      </w:r>
      <w:r>
        <w:rPr>
          <w:rFonts w:ascii="宋体" w:hAnsi="宋体" w:eastAsia="宋体" w:cs="宋体"/>
          <w:color w:val="auto"/>
          <w:spacing w:val="9"/>
          <w:sz w:val="20"/>
          <w:szCs w:val="20"/>
        </w:rPr>
        <w:t>、场所环境</w:t>
      </w:r>
      <w:r>
        <w:rPr>
          <w:rFonts w:hint="eastAsia" w:ascii="宋体" w:hAnsi="宋体" w:eastAsia="宋体" w:cs="宋体"/>
          <w:color w:val="auto"/>
          <w:spacing w:val="9"/>
          <w:sz w:val="20"/>
          <w:szCs w:val="20"/>
          <w:lang w:val="en-US" w:eastAsia="zh-CN"/>
        </w:rPr>
        <w:t>与</w:t>
      </w:r>
      <w:r>
        <w:rPr>
          <w:rFonts w:ascii="宋体" w:hAnsi="宋体" w:eastAsia="宋体" w:cs="宋体"/>
          <w:color w:val="auto"/>
          <w:spacing w:val="9"/>
          <w:sz w:val="20"/>
          <w:szCs w:val="20"/>
        </w:rPr>
        <w:t>设备设施、管理</w:t>
      </w:r>
      <w:r>
        <w:rPr>
          <w:rFonts w:hint="eastAsia" w:ascii="宋体" w:hAnsi="宋体" w:eastAsia="宋体" w:cs="宋体"/>
          <w:color w:val="auto"/>
          <w:spacing w:val="9"/>
          <w:sz w:val="20"/>
          <w:szCs w:val="20"/>
          <w:lang w:val="en-US" w:eastAsia="zh-CN"/>
        </w:rPr>
        <w:t>要素及</w:t>
      </w:r>
      <w:r>
        <w:rPr>
          <w:rFonts w:ascii="宋体" w:hAnsi="宋体" w:eastAsia="宋体" w:cs="宋体"/>
          <w:color w:val="auto"/>
          <w:spacing w:val="8"/>
          <w:sz w:val="20"/>
          <w:szCs w:val="20"/>
        </w:rPr>
        <w:t>监视</w:t>
      </w:r>
      <w:r>
        <w:rPr>
          <w:rFonts w:hint="eastAsia" w:ascii="宋体" w:hAnsi="宋体" w:eastAsia="宋体" w:cs="宋体"/>
          <w:color w:val="auto"/>
          <w:spacing w:val="8"/>
          <w:sz w:val="20"/>
          <w:szCs w:val="20"/>
          <w:lang w:eastAsia="zh-CN"/>
        </w:rPr>
        <w:t>、</w:t>
      </w:r>
      <w:r>
        <w:rPr>
          <w:rFonts w:ascii="宋体" w:hAnsi="宋体" w:eastAsia="宋体" w:cs="宋体"/>
          <w:color w:val="auto"/>
          <w:spacing w:val="8"/>
          <w:sz w:val="20"/>
          <w:szCs w:val="20"/>
        </w:rPr>
        <w:t>分析和评价</w:t>
      </w:r>
      <w:r>
        <w:rPr>
          <w:rFonts w:hint="eastAsia" w:ascii="宋体" w:hAnsi="宋体" w:eastAsia="宋体" w:cs="宋体"/>
          <w:color w:val="auto"/>
          <w:spacing w:val="8"/>
          <w:sz w:val="20"/>
          <w:szCs w:val="20"/>
          <w:lang w:val="en-US" w:eastAsia="zh-CN"/>
        </w:rPr>
        <w:t>等</w:t>
      </w:r>
      <w:r>
        <w:rPr>
          <w:rFonts w:ascii="宋体" w:hAnsi="宋体" w:eastAsia="宋体" w:cs="宋体"/>
          <w:color w:val="auto"/>
          <w:spacing w:val="8"/>
          <w:sz w:val="20"/>
          <w:szCs w:val="20"/>
        </w:rPr>
        <w:t>要求。</w:t>
      </w:r>
    </w:p>
    <w:p w14:paraId="7776DF1A">
      <w:pPr>
        <w:spacing w:before="0" w:line="240" w:lineRule="auto"/>
        <w:ind w:firstLine="436" w:firstLineChars="200"/>
        <w:rPr>
          <w:rFonts w:ascii="宋体" w:hAnsi="宋体" w:eastAsia="宋体" w:cs="宋体"/>
          <w:spacing w:val="9"/>
          <w:position w:val="7"/>
          <w:sz w:val="20"/>
          <w:szCs w:val="20"/>
        </w:rPr>
      </w:pPr>
      <w:r>
        <w:rPr>
          <w:rFonts w:hint="eastAsia" w:ascii="宋体" w:hAnsi="宋体" w:eastAsia="宋体" w:cs="宋体"/>
          <w:spacing w:val="9"/>
          <w:position w:val="7"/>
          <w:sz w:val="20"/>
          <w:szCs w:val="20"/>
          <w:lang w:eastAsia="zh-CN"/>
        </w:rPr>
        <w:t>本文件适用于现场检验</w:t>
      </w:r>
      <w:r>
        <w:rPr>
          <w:rFonts w:hint="eastAsia" w:ascii="宋体" w:hAnsi="宋体" w:eastAsia="宋体" w:cs="宋体"/>
          <w:spacing w:val="9"/>
          <w:position w:val="7"/>
          <w:sz w:val="20"/>
          <w:szCs w:val="20"/>
          <w:lang w:val="en-US" w:eastAsia="zh-CN"/>
        </w:rPr>
        <w:t>职业健康、卫生与安全</w:t>
      </w:r>
      <w:r>
        <w:rPr>
          <w:rFonts w:hint="eastAsia" w:ascii="宋体" w:hAnsi="宋体" w:eastAsia="宋体" w:cs="宋体"/>
          <w:spacing w:val="9"/>
          <w:position w:val="7"/>
          <w:sz w:val="20"/>
          <w:szCs w:val="20"/>
          <w:lang w:eastAsia="zh-CN"/>
        </w:rPr>
        <w:t>管理，是现场检验</w:t>
      </w:r>
      <w:r>
        <w:rPr>
          <w:rFonts w:hint="eastAsia" w:ascii="宋体" w:hAnsi="宋体" w:eastAsia="宋体" w:cs="宋体"/>
          <w:spacing w:val="9"/>
          <w:position w:val="7"/>
          <w:sz w:val="20"/>
          <w:szCs w:val="20"/>
          <w:lang w:val="en-US" w:eastAsia="zh-CN"/>
        </w:rPr>
        <w:t>职业健康、卫生和安全</w:t>
      </w:r>
      <w:r>
        <w:rPr>
          <w:rFonts w:hint="eastAsia" w:ascii="宋体" w:hAnsi="宋体" w:eastAsia="宋体" w:cs="宋体"/>
          <w:spacing w:val="9"/>
          <w:position w:val="7"/>
          <w:sz w:val="20"/>
          <w:szCs w:val="20"/>
          <w:lang w:eastAsia="zh-CN"/>
        </w:rPr>
        <w:t>（</w:t>
      </w:r>
      <w:r>
        <w:rPr>
          <w:rFonts w:hint="eastAsia" w:ascii="宋体" w:hAnsi="宋体" w:eastAsia="宋体" w:cs="宋体"/>
          <w:spacing w:val="9"/>
          <w:position w:val="7"/>
          <w:sz w:val="20"/>
          <w:szCs w:val="20"/>
          <w:lang w:val="en-US" w:eastAsia="zh-CN"/>
        </w:rPr>
        <w:t>以下统称安全）管理</w:t>
      </w:r>
      <w:r>
        <w:rPr>
          <w:rFonts w:hint="eastAsia" w:ascii="宋体" w:hAnsi="宋体" w:eastAsia="宋体" w:cs="宋体"/>
          <w:spacing w:val="9"/>
          <w:position w:val="7"/>
          <w:sz w:val="20"/>
          <w:szCs w:val="20"/>
          <w:lang w:eastAsia="zh-CN"/>
        </w:rPr>
        <w:t>的</w:t>
      </w:r>
      <w:r>
        <w:rPr>
          <w:rFonts w:ascii="宋体" w:hAnsi="宋体" w:eastAsia="宋体" w:cs="宋体"/>
          <w:spacing w:val="9"/>
          <w:position w:val="7"/>
          <w:sz w:val="20"/>
          <w:szCs w:val="20"/>
        </w:rPr>
        <w:t>通用要求。</w:t>
      </w:r>
    </w:p>
    <w:p w14:paraId="65C91111">
      <w:pPr>
        <w:pStyle w:val="3"/>
        <w:spacing w:before="0" w:beforeLines="100" w:afterLines="100" w:line="240" w:lineRule="auto"/>
        <w:outlineLvl w:val="0"/>
        <w:rPr>
          <w:rFonts w:ascii="黑体"/>
          <w:spacing w:val="-3"/>
          <w:sz w:val="20"/>
          <w:szCs w:val="20"/>
        </w:rPr>
      </w:pPr>
      <w:r>
        <w:rPr>
          <w:rFonts w:hint="default" w:ascii="黑体" w:hAnsi="黑体" w:eastAsia="黑体" w:cs="黑体"/>
          <w:spacing w:val="-3"/>
          <w:sz w:val="20"/>
          <w:szCs w:val="20"/>
          <w:lang w:val="en-US" w:eastAsia="zh-CN"/>
        </w:rPr>
        <w:t xml:space="preserve"> </w:t>
      </w:r>
      <w:bookmarkStart w:id="11" w:name="_Toc6507"/>
      <w:r>
        <w:rPr>
          <w:spacing w:val="-3"/>
          <w:sz w:val="20"/>
          <w:szCs w:val="20"/>
        </w:rPr>
        <w:t>2  规范性引用文件</w:t>
      </w:r>
      <w:bookmarkEnd w:id="11"/>
    </w:p>
    <w:p w14:paraId="756158C8">
      <w:pPr>
        <w:spacing w:before="52" w:line="312" w:lineRule="exact"/>
        <w:ind w:firstLine="432" w:firstLineChars="200"/>
        <w:rPr>
          <w:rFonts w:ascii="宋体" w:hAnsi="宋体" w:eastAsia="宋体" w:cs="宋体"/>
          <w:spacing w:val="8"/>
          <w:sz w:val="20"/>
          <w:szCs w:val="20"/>
        </w:rPr>
      </w:pPr>
      <w:r>
        <w:rPr>
          <w:rFonts w:hint="eastAsia" w:ascii="宋体" w:hAnsi="宋体" w:eastAsia="宋体" w:cs="宋体"/>
          <w:spacing w:val="8"/>
          <w:sz w:val="20"/>
          <w:szCs w:val="20"/>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9BBA08">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 2893  安全色</w:t>
      </w:r>
    </w:p>
    <w:p w14:paraId="436282EF">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 2894  安全标志及其使用导则</w:t>
      </w:r>
    </w:p>
    <w:p w14:paraId="26EE2751">
      <w:pPr>
        <w:spacing w:before="52" w:line="312"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GB  39800.1  个体防护装备规范 第1部分：总则</w:t>
      </w:r>
    </w:p>
    <w:p w14:paraId="6A50FAD8">
      <w:pPr>
        <w:spacing w:before="52" w:line="312"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GB/T 13459  劳动防护服 防寒保暖要求</w:t>
      </w:r>
    </w:p>
    <w:p w14:paraId="3C23AA70">
      <w:pPr>
        <w:spacing w:before="52" w:line="312" w:lineRule="exact"/>
        <w:ind w:firstLine="400" w:firstLineChars="200"/>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GB/T 14440   低温作业分级</w:t>
      </w:r>
    </w:p>
    <w:p w14:paraId="6185449F">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GB/T 27476.2  检测实验室安全  第 1 部分 :电气因素</w:t>
      </w:r>
    </w:p>
    <w:p w14:paraId="6F304D0B">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GB/T 27476.3  检测实验室安全  第 1 部分 :机械因素</w:t>
      </w:r>
    </w:p>
    <w:p w14:paraId="109CEB3E">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GB/T 27476.</w:t>
      </w:r>
      <w:r>
        <w:rPr>
          <w:rFonts w:hint="eastAsia" w:ascii="宋体" w:hAnsi="宋体" w:eastAsia="宋体" w:cs="宋体"/>
          <w:spacing w:val="8"/>
          <w:sz w:val="20"/>
          <w:szCs w:val="20"/>
          <w:lang w:val="en-US" w:eastAsia="zh-CN"/>
        </w:rPr>
        <w:t>7</w:t>
      </w:r>
      <w:r>
        <w:rPr>
          <w:rFonts w:hint="eastAsia" w:ascii="宋体" w:hAnsi="宋体" w:eastAsia="宋体" w:cs="宋体"/>
          <w:spacing w:val="8"/>
          <w:sz w:val="20"/>
          <w:szCs w:val="20"/>
          <w:lang w:eastAsia="zh-CN"/>
        </w:rPr>
        <w:t xml:space="preserve">  检测实验室安全  第 </w:t>
      </w:r>
      <w:r>
        <w:rPr>
          <w:rFonts w:hint="eastAsia" w:ascii="宋体" w:hAnsi="宋体" w:eastAsia="宋体" w:cs="宋体"/>
          <w:spacing w:val="8"/>
          <w:sz w:val="20"/>
          <w:szCs w:val="20"/>
          <w:lang w:val="en-US" w:eastAsia="zh-CN"/>
        </w:rPr>
        <w:t xml:space="preserve">7 </w:t>
      </w:r>
      <w:r>
        <w:rPr>
          <w:rFonts w:hint="eastAsia" w:ascii="宋体" w:hAnsi="宋体" w:eastAsia="宋体" w:cs="宋体"/>
          <w:spacing w:val="8"/>
          <w:sz w:val="20"/>
          <w:szCs w:val="20"/>
          <w:lang w:eastAsia="zh-CN"/>
        </w:rPr>
        <w:t>部分 :非电离辐射因素</w:t>
      </w:r>
    </w:p>
    <w:p w14:paraId="6E9C38F6">
      <w:pPr>
        <w:spacing w:before="52" w:line="312" w:lineRule="exact"/>
        <w:ind w:firstLine="432" w:firstLineChars="200"/>
        <w:rPr>
          <w:rFonts w:hint="default"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GB/T 29639  生产经营单位生产安全事故应急预案编制导则</w:t>
      </w:r>
    </w:p>
    <w:p w14:paraId="72673804">
      <w:pPr>
        <w:spacing w:before="52" w:line="312"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GB/T 30041  头部防护 安全帽选用规范</w:t>
      </w:r>
    </w:p>
    <w:p w14:paraId="4DDC73F6">
      <w:pPr>
        <w:spacing w:before="52" w:line="312" w:lineRule="exact"/>
        <w:ind w:firstLine="400" w:firstLineChars="200"/>
        <w:rPr>
          <w:rFonts w:hint="eastAsia" w:ascii="宋体" w:hAnsi="宋体" w:eastAsia="宋体" w:cs="宋体"/>
          <w:spacing w:val="8"/>
          <w:sz w:val="20"/>
          <w:szCs w:val="20"/>
          <w:lang w:eastAsia="zh-CN"/>
        </w:rPr>
      </w:pPr>
      <w:r>
        <w:rPr>
          <w:rFonts w:hint="eastAsia" w:ascii="宋体" w:hAnsi="宋体" w:eastAsia="宋体" w:cs="宋体"/>
          <w:sz w:val="20"/>
          <w:szCs w:val="20"/>
          <w:lang w:val="en-US" w:eastAsia="zh-CN"/>
        </w:rPr>
        <w:t>GB/T 38300  防护服装 冷环境防护服</w:t>
      </w:r>
    </w:p>
    <w:p w14:paraId="23879021">
      <w:pPr>
        <w:spacing w:before="52" w:line="312" w:lineRule="exact"/>
        <w:ind w:firstLine="432" w:firstLineChars="20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GB/T 45001-2020  职业健康安全管理体系要求及使用指南</w:t>
      </w:r>
    </w:p>
    <w:p w14:paraId="637E80B3">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AQ/T 9007  生产安全事故应急演练基本规范</w:t>
      </w:r>
    </w:p>
    <w:p w14:paraId="216B6832">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AQ/T 9009  生产安全事故应急演练评估规范</w:t>
      </w:r>
    </w:p>
    <w:p w14:paraId="057348B7">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GBZ</w:t>
      </w:r>
      <w:r>
        <w:rPr>
          <w:rFonts w:hint="eastAsia" w:ascii="宋体" w:hAnsi="宋体" w:eastAsia="宋体" w:cs="宋体"/>
          <w:spacing w:val="8"/>
          <w:sz w:val="20"/>
          <w:szCs w:val="20"/>
          <w:lang w:val="en-US" w:eastAsia="zh-CN"/>
        </w:rPr>
        <w:t xml:space="preserve"> </w:t>
      </w:r>
      <w:r>
        <w:rPr>
          <w:rFonts w:hint="eastAsia" w:ascii="宋体" w:hAnsi="宋体" w:eastAsia="宋体" w:cs="宋体"/>
          <w:spacing w:val="8"/>
          <w:sz w:val="20"/>
          <w:szCs w:val="20"/>
          <w:lang w:eastAsia="zh-CN"/>
        </w:rPr>
        <w:t>2.2  工作场所有害因素职业接触限值第二部分：物理因素</w:t>
      </w:r>
    </w:p>
    <w:p w14:paraId="2388D23C">
      <w:pPr>
        <w:spacing w:before="52" w:line="312" w:lineRule="exact"/>
        <w:ind w:firstLine="432" w:firstLineChars="200"/>
        <w:rPr>
          <w:rFonts w:hint="eastAsia" w:ascii="宋体" w:hAnsi="宋体" w:eastAsia="宋体" w:cs="宋体"/>
          <w:spacing w:val="8"/>
          <w:sz w:val="20"/>
          <w:szCs w:val="20"/>
          <w:lang w:eastAsia="zh-CN"/>
        </w:rPr>
      </w:pPr>
      <w:r>
        <w:rPr>
          <w:rFonts w:hint="eastAsia" w:ascii="宋体" w:hAnsi="宋体" w:eastAsia="宋体" w:cs="宋体"/>
          <w:spacing w:val="8"/>
          <w:sz w:val="20"/>
          <w:szCs w:val="20"/>
          <w:lang w:eastAsia="zh-CN"/>
        </w:rPr>
        <w:t>GBZ 158  工作场所职业病危害警示标识</w:t>
      </w:r>
    </w:p>
    <w:p w14:paraId="6D168041">
      <w:pPr>
        <w:spacing w:before="52" w:line="312" w:lineRule="exact"/>
        <w:ind w:firstLine="400" w:firstLineChars="200"/>
        <w:rPr>
          <w:rFonts w:hint="default" w:ascii="宋体" w:hAnsi="宋体" w:eastAsia="宋体" w:cs="宋体"/>
          <w:spacing w:val="8"/>
          <w:sz w:val="20"/>
          <w:szCs w:val="20"/>
          <w:lang w:val="en-US" w:eastAsia="zh-CN"/>
        </w:rPr>
      </w:pPr>
      <w:r>
        <w:rPr>
          <w:rFonts w:hint="eastAsia" w:ascii="宋体" w:hAnsi="宋体" w:eastAsia="宋体" w:cs="宋体"/>
          <w:sz w:val="20"/>
          <w:szCs w:val="20"/>
          <w:lang w:val="en-US" w:eastAsia="zh-CN"/>
        </w:rPr>
        <w:t>GBZ 229.1  工作场所职业病危害作业分级：生产性粉尘</w:t>
      </w:r>
    </w:p>
    <w:p w14:paraId="11CBA120">
      <w:pPr>
        <w:spacing w:before="52" w:line="312" w:lineRule="exact"/>
        <w:ind w:firstLine="400" w:firstLineChars="200"/>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GBZ/T 229.3  工作场所职业危害作业分级：高温 </w:t>
      </w:r>
    </w:p>
    <w:p w14:paraId="76E2E744">
      <w:pPr>
        <w:spacing w:before="52" w:line="312"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AQ 6111  个体防护装备安全管理规范</w:t>
      </w:r>
    </w:p>
    <w:p w14:paraId="6F999311">
      <w:pPr>
        <w:spacing w:before="52" w:line="312" w:lineRule="exact"/>
        <w:ind w:firstLine="432" w:firstLineChars="20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CNAS-TR1-001 检验机构安全作业指南</w:t>
      </w:r>
      <w:r>
        <w:rPr>
          <w:rFonts w:hint="eastAsia" w:ascii="宋体" w:hAnsi="宋体" w:eastAsia="宋体" w:cs="宋体"/>
          <w:spacing w:val="8"/>
          <w:sz w:val="20"/>
          <w:szCs w:val="20"/>
          <w:lang w:eastAsia="zh-CN"/>
        </w:rPr>
        <w:t xml:space="preserve"> </w:t>
      </w:r>
      <w:r>
        <w:rPr>
          <w:rFonts w:hint="eastAsia" w:ascii="宋体" w:hAnsi="宋体" w:eastAsia="宋体" w:cs="宋体"/>
          <w:spacing w:val="8"/>
          <w:sz w:val="20"/>
          <w:szCs w:val="20"/>
          <w:lang w:val="en-US" w:eastAsia="zh-CN"/>
        </w:rPr>
        <w:t xml:space="preserve"> </w:t>
      </w:r>
    </w:p>
    <w:p w14:paraId="3FBCC2B1">
      <w:pPr>
        <w:pStyle w:val="3"/>
        <w:spacing w:before="0" w:beforeLines="100" w:afterLines="100" w:line="240" w:lineRule="auto"/>
        <w:ind w:left="0"/>
        <w:outlineLvl w:val="0"/>
        <w:rPr>
          <w:rFonts w:hint="default" w:ascii="黑体" w:hAnsi="黑体" w:eastAsia="黑体" w:cs="黑体"/>
          <w:snapToGrid w:val="0"/>
          <w:color w:val="000000"/>
          <w:spacing w:val="-3"/>
          <w:kern w:val="0"/>
          <w:sz w:val="20"/>
          <w:szCs w:val="20"/>
          <w:lang w:val="en-US" w:eastAsia="zh-CN" w:bidi="ar-SA"/>
        </w:rPr>
      </w:pPr>
      <w:bookmarkStart w:id="12" w:name="_Toc9632"/>
      <w:r>
        <w:rPr>
          <w:rFonts w:hint="default" w:ascii="黑体" w:hAnsi="黑体" w:eastAsia="黑体" w:cs="黑体"/>
          <w:snapToGrid w:val="0"/>
          <w:color w:val="000000"/>
          <w:spacing w:val="-3"/>
          <w:kern w:val="0"/>
          <w:sz w:val="20"/>
          <w:szCs w:val="20"/>
          <w:lang w:val="en-US" w:eastAsia="zh-CN" w:bidi="ar-SA"/>
        </w:rPr>
        <w:t>3  术语和定义</w:t>
      </w:r>
      <w:bookmarkEnd w:id="12"/>
      <w:r>
        <w:rPr>
          <w:rFonts w:hint="eastAsia" w:cs="黑体"/>
          <w:snapToGrid w:val="0"/>
          <w:color w:val="000000"/>
          <w:spacing w:val="-3"/>
          <w:kern w:val="0"/>
          <w:sz w:val="20"/>
          <w:szCs w:val="20"/>
          <w:lang w:val="en-US" w:eastAsia="zh-CN" w:bidi="ar-SA"/>
        </w:rPr>
        <w:t>.</w:t>
      </w:r>
    </w:p>
    <w:p w14:paraId="28C42E95">
      <w:pPr>
        <w:spacing w:before="66" w:line="227" w:lineRule="auto"/>
        <w:ind w:left="428"/>
        <w:rPr>
          <w:rFonts w:hint="eastAsia" w:ascii="宋体" w:hAnsi="宋体" w:eastAsia="宋体" w:cs="宋体"/>
          <w:snapToGrid w:val="0"/>
          <w:color w:val="000000"/>
          <w:kern w:val="0"/>
          <w:szCs w:val="20"/>
          <w:lang w:val="en-US" w:eastAsia="zh-CN" w:bidi="ar-SA"/>
        </w:rPr>
      </w:pPr>
      <w:r>
        <w:rPr>
          <w:rFonts w:hint="eastAsia" w:ascii="宋体" w:hAnsi="宋体" w:eastAsia="宋体" w:cs="宋体"/>
          <w:snapToGrid w:val="0"/>
          <w:color w:val="000000"/>
          <w:kern w:val="0"/>
          <w:szCs w:val="20"/>
          <w:lang w:val="en-US" w:eastAsia="zh-CN" w:bidi="ar-SA"/>
        </w:rPr>
        <w:t xml:space="preserve">下列术语和定义及GB/T 45001-2020的术语和定义适用于本文件。 </w:t>
      </w:r>
      <w:bookmarkStart w:id="13" w:name="_Toc11802"/>
      <w:bookmarkStart w:id="14" w:name="_Toc5860"/>
    </w:p>
    <w:p w14:paraId="17A354DF">
      <w:pPr>
        <w:autoSpaceDE/>
        <w:autoSpaceDN/>
        <w:spacing w:before="0" w:beforeLines="50" w:afterLines="50" w:line="240" w:lineRule="auto"/>
        <w:rPr>
          <w:rFonts w:hint="eastAsia" w:ascii="黑体" w:hAnsi="黑体" w:eastAsia="黑体" w:cs="黑体"/>
          <w:snapToGrid w:val="0"/>
          <w:color w:val="000000"/>
          <w:spacing w:val="0"/>
          <w:kern w:val="0"/>
          <w:sz w:val="21"/>
          <w:szCs w:val="21"/>
          <w:lang w:val="en-US" w:eastAsia="zh-CN" w:bidi="ar-SA"/>
        </w:rPr>
      </w:pPr>
    </w:p>
    <w:p w14:paraId="2A55574D">
      <w:pPr>
        <w:autoSpaceDE/>
        <w:autoSpaceDN/>
        <w:spacing w:before="0" w:beforeLines="50" w:afterLines="50" w:line="240" w:lineRule="auto"/>
        <w:rPr>
          <w:rFonts w:hint="eastAsia" w:ascii="黑体" w:hAnsi="黑体" w:eastAsia="黑体" w:cs="黑体"/>
          <w:snapToGrid w:val="0"/>
          <w:color w:val="000000"/>
          <w:spacing w:val="0"/>
          <w:kern w:val="0"/>
          <w:sz w:val="21"/>
          <w:szCs w:val="21"/>
          <w:lang w:val="en-US" w:eastAsia="zh-CN" w:bidi="ar-SA"/>
        </w:rPr>
      </w:pPr>
      <w:r>
        <w:rPr>
          <w:rFonts w:hint="eastAsia" w:ascii="黑体" w:hAnsi="黑体" w:eastAsia="黑体" w:cs="黑体"/>
          <w:snapToGrid w:val="0"/>
          <w:color w:val="000000"/>
          <w:spacing w:val="0"/>
          <w:kern w:val="0"/>
          <w:sz w:val="21"/>
          <w:szCs w:val="21"/>
          <w:lang w:val="en-US" w:eastAsia="zh-CN" w:bidi="ar-SA"/>
        </w:rPr>
        <w:t>3.1</w:t>
      </w:r>
      <w:bookmarkEnd w:id="13"/>
      <w:bookmarkEnd w:id="14"/>
      <w:r>
        <w:rPr>
          <w:rFonts w:hint="eastAsia" w:ascii="黑体" w:hAnsi="黑体" w:eastAsia="黑体" w:cs="黑体"/>
          <w:snapToGrid w:val="0"/>
          <w:color w:val="000000"/>
          <w:spacing w:val="0"/>
          <w:kern w:val="0"/>
          <w:sz w:val="21"/>
          <w:szCs w:val="21"/>
          <w:lang w:val="en-US" w:eastAsia="zh-CN" w:bidi="ar-SA"/>
        </w:rPr>
        <w:t xml:space="preserve"> </w:t>
      </w:r>
    </w:p>
    <w:p w14:paraId="75152221">
      <w:pPr>
        <w:autoSpaceDE/>
        <w:autoSpaceDN/>
        <w:spacing w:before="0" w:beforeLines="50" w:afterLines="50" w:line="240" w:lineRule="auto"/>
        <w:ind w:firstLine="420" w:firstLineChars="200"/>
        <w:rPr>
          <w:rFonts w:hint="eastAsia" w:ascii="黑体" w:hAnsi="黑体" w:eastAsia="黑体" w:cs="黑体"/>
          <w:spacing w:val="0"/>
          <w:sz w:val="21"/>
          <w:szCs w:val="21"/>
          <w:lang w:val="en-US" w:eastAsia="zh-CN"/>
        </w:rPr>
      </w:pPr>
      <w:r>
        <w:rPr>
          <w:rFonts w:hint="eastAsia" w:ascii="黑体" w:hAnsi="黑体" w:eastAsia="黑体" w:cs="黑体"/>
          <w:snapToGrid w:val="0"/>
          <w:color w:val="000000"/>
          <w:spacing w:val="0"/>
          <w:kern w:val="0"/>
          <w:sz w:val="21"/>
          <w:szCs w:val="21"/>
          <w:lang w:val="en-US" w:eastAsia="zh-CN" w:bidi="ar-SA"/>
        </w:rPr>
        <w:t>棉花公证检验</w:t>
      </w:r>
      <w:r>
        <w:rPr>
          <w:rFonts w:hint="eastAsia" w:ascii="黑体" w:hAnsi="黑体" w:eastAsia="黑体" w:cs="黑体"/>
          <w:spacing w:val="0"/>
          <w:sz w:val="21"/>
          <w:szCs w:val="21"/>
          <w:lang w:val="en-US" w:eastAsia="zh-CN"/>
        </w:rPr>
        <w:t xml:space="preserve"> cotton notarization inspection</w:t>
      </w:r>
    </w:p>
    <w:p w14:paraId="066191DF">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任务下达部门委托有关纤维检验机构按照国家标准和技术规范，对棉花的质量、数量进行检验并出具公证检验证书的活动。</w:t>
      </w:r>
    </w:p>
    <w:p w14:paraId="6ED29413">
      <w:pPr>
        <w:autoSpaceDE/>
        <w:autoSpaceDN/>
        <w:spacing w:before="0" w:beforeLines="50" w:afterLines="50" w:line="240" w:lineRule="auto"/>
        <w:ind w:left="0"/>
        <w:outlineLvl w:val="9"/>
        <w:rPr>
          <w:rFonts w:hint="eastAsia" w:ascii="黑体" w:hAnsi="黑体" w:eastAsia="黑体" w:cs="黑体"/>
          <w:snapToGrid w:val="0"/>
          <w:color w:val="000000"/>
          <w:spacing w:val="0"/>
          <w:kern w:val="0"/>
          <w:sz w:val="21"/>
          <w:szCs w:val="21"/>
          <w:lang w:val="en-US" w:eastAsia="zh-CN" w:bidi="ar-SA"/>
        </w:rPr>
      </w:pPr>
      <w:r>
        <w:rPr>
          <w:rFonts w:hint="eastAsia" w:ascii="黑体" w:hAnsi="黑体" w:eastAsia="黑体" w:cs="黑体"/>
          <w:snapToGrid w:val="0"/>
          <w:color w:val="000000"/>
          <w:spacing w:val="0"/>
          <w:kern w:val="0"/>
          <w:sz w:val="21"/>
          <w:szCs w:val="21"/>
          <w:lang w:val="en-US" w:eastAsia="zh-CN" w:bidi="ar-SA"/>
        </w:rPr>
        <w:t xml:space="preserve">3.2 </w:t>
      </w:r>
    </w:p>
    <w:p w14:paraId="14B17453">
      <w:pPr>
        <w:autoSpaceDE/>
        <w:autoSpaceDN/>
        <w:spacing w:before="0" w:beforeLines="50" w:afterLines="50" w:line="240" w:lineRule="auto"/>
        <w:ind w:left="0" w:firstLine="420" w:firstLineChars="200"/>
        <w:outlineLvl w:val="9"/>
        <w:rPr>
          <w:rFonts w:hint="eastAsia" w:ascii="黑体" w:hAnsi="黑体" w:eastAsia="黑体" w:cs="黑体"/>
          <w:b w:val="0"/>
          <w:bCs w:val="0"/>
          <w:snapToGrid w:val="0"/>
          <w:color w:val="000000"/>
          <w:kern w:val="0"/>
          <w:sz w:val="21"/>
          <w:szCs w:val="21"/>
          <w:lang w:val="en-US" w:eastAsia="zh-CN" w:bidi="ar-SA"/>
        </w:rPr>
      </w:pPr>
      <w:r>
        <w:rPr>
          <w:rFonts w:hint="eastAsia" w:ascii="黑体" w:hAnsi="黑体" w:eastAsia="黑体" w:cs="黑体"/>
          <w:snapToGrid w:val="0"/>
          <w:color w:val="000000"/>
          <w:spacing w:val="0"/>
          <w:kern w:val="0"/>
          <w:sz w:val="21"/>
          <w:szCs w:val="21"/>
          <w:lang w:val="en-US" w:eastAsia="zh-CN" w:bidi="ar-SA"/>
        </w:rPr>
        <w:t>现场检验</w:t>
      </w:r>
      <w:r>
        <w:rPr>
          <w:rFonts w:hint="eastAsia" w:ascii="黑体" w:hAnsi="黑体" w:eastAsia="黑体" w:cs="黑体"/>
          <w:b w:val="0"/>
          <w:bCs w:val="0"/>
          <w:snapToGrid w:val="0"/>
          <w:color w:val="000000"/>
          <w:kern w:val="0"/>
          <w:sz w:val="21"/>
          <w:szCs w:val="21"/>
          <w:lang w:val="en-US" w:eastAsia="zh-CN" w:bidi="ar-SA"/>
        </w:rPr>
        <w:t xml:space="preserve"> inspection on site</w:t>
      </w:r>
    </w:p>
    <w:p w14:paraId="6486CC57">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棉花公证检验活动中纤维检验机构按照国家标准和技术规范，在棉花仓库现场对棉花进行抽样与检验并出具公证检验证书的活动。</w:t>
      </w:r>
    </w:p>
    <w:p w14:paraId="549F2131">
      <w:pPr>
        <w:spacing w:before="79" w:line="261" w:lineRule="auto"/>
        <w:ind w:left="6" w:right="1" w:firstLine="421"/>
        <w:jc w:val="left"/>
        <w:rPr>
          <w:rFonts w:hint="eastAsia" w:ascii="宋体" w:hAnsi="宋体" w:eastAsia="宋体" w:cs="宋体"/>
          <w:b w:val="0"/>
          <w:bCs w:val="0"/>
          <w:spacing w:val="8"/>
          <w:sz w:val="18"/>
          <w:szCs w:val="18"/>
          <w:lang w:val="en-US" w:eastAsia="zh-CN"/>
        </w:rPr>
      </w:pPr>
      <w:r>
        <w:rPr>
          <w:rFonts w:hint="eastAsia" w:ascii="黑体" w:hAnsi="黑体" w:eastAsia="黑体" w:cs="黑体"/>
          <w:snapToGrid w:val="0"/>
          <w:color w:val="000000"/>
          <w:kern w:val="0"/>
          <w:sz w:val="18"/>
          <w:szCs w:val="18"/>
          <w:lang w:val="en-US" w:eastAsia="zh-CN" w:bidi="ar-SA"/>
        </w:rPr>
        <w:t>注:</w:t>
      </w:r>
      <w:r>
        <w:rPr>
          <w:rFonts w:hint="eastAsia" w:ascii="宋体" w:hAnsi="宋体" w:eastAsia="宋体" w:cs="宋体"/>
          <w:snapToGrid w:val="0"/>
          <w:color w:val="000000"/>
          <w:kern w:val="0"/>
          <w:sz w:val="18"/>
          <w:szCs w:val="18"/>
          <w:lang w:val="en-US" w:eastAsia="zh-CN" w:bidi="ar-SA"/>
        </w:rPr>
        <w:t>现场检验一般包括入库验收、重量过磅、条码扫描、回潮率检验、取样、含杂率检验、加盖验讫章、样品交接、数据处理等。</w:t>
      </w:r>
    </w:p>
    <w:p w14:paraId="50634842">
      <w:pPr>
        <w:autoSpaceDE/>
        <w:autoSpaceDN/>
        <w:spacing w:before="0" w:beforeLines="50" w:afterLines="50" w:line="240" w:lineRule="auto"/>
        <w:outlineLvl w:val="9"/>
        <w:rPr>
          <w:rFonts w:hint="eastAsia" w:ascii="黑体" w:hAnsi="黑体" w:eastAsia="黑体" w:cs="黑体"/>
          <w:spacing w:val="0"/>
          <w:sz w:val="21"/>
          <w:szCs w:val="21"/>
          <w:lang w:val="en-US" w:eastAsia="zh-CN"/>
        </w:rPr>
      </w:pPr>
    </w:p>
    <w:p w14:paraId="182C02AD">
      <w:pPr>
        <w:autoSpaceDE/>
        <w:autoSpaceDN/>
        <w:spacing w:before="0" w:beforeLines="50" w:afterLines="50" w:line="240" w:lineRule="auto"/>
        <w:outlineLvl w:val="9"/>
        <w:rPr>
          <w:rFonts w:hint="eastAsia" w:ascii="黑体" w:hAnsi="黑体" w:eastAsia="黑体" w:cs="黑体"/>
          <w:spacing w:val="0"/>
          <w:sz w:val="21"/>
          <w:szCs w:val="21"/>
          <w:lang w:val="en-US" w:eastAsia="zh-CN"/>
        </w:rPr>
      </w:pPr>
      <w:r>
        <w:rPr>
          <w:rFonts w:hint="eastAsia" w:ascii="黑体" w:hAnsi="黑体" w:eastAsia="黑体" w:cs="黑体"/>
          <w:spacing w:val="0"/>
          <w:sz w:val="21"/>
          <w:szCs w:val="21"/>
          <w:lang w:val="en-US" w:eastAsia="zh-CN"/>
        </w:rPr>
        <w:t xml:space="preserve">3.3 </w:t>
      </w:r>
    </w:p>
    <w:p w14:paraId="37BA8605">
      <w:pPr>
        <w:autoSpaceDE/>
        <w:autoSpaceDN/>
        <w:spacing w:before="0" w:beforeLines="50" w:afterLines="50" w:line="240" w:lineRule="auto"/>
        <w:ind w:firstLine="420" w:firstLineChars="200"/>
        <w:outlineLvl w:val="9"/>
        <w:rPr>
          <w:rFonts w:hint="default" w:ascii="黑体" w:hAnsi="黑体" w:eastAsia="黑体" w:cs="黑体"/>
          <w:spacing w:val="0"/>
          <w:sz w:val="21"/>
          <w:szCs w:val="21"/>
          <w:lang w:val="en-US" w:eastAsia="zh-CN"/>
        </w:rPr>
      </w:pPr>
      <w:r>
        <w:rPr>
          <w:rFonts w:hint="eastAsia" w:ascii="黑体" w:hAnsi="黑体" w:eastAsia="黑体" w:cs="黑体"/>
          <w:spacing w:val="0"/>
          <w:sz w:val="21"/>
          <w:szCs w:val="21"/>
          <w:lang w:val="en-US" w:eastAsia="zh-CN"/>
        </w:rPr>
        <w:t>最高管理者 top manager</w:t>
      </w:r>
    </w:p>
    <w:p w14:paraId="49A8F3C0">
      <w:pPr>
        <w:pStyle w:val="3"/>
        <w:numPr>
          <w:ilvl w:val="0"/>
          <w:numId w:val="0"/>
        </w:numPr>
        <w:spacing w:before="66" w:line="230" w:lineRule="auto"/>
        <w:ind w:firstLine="400" w:firstLineChars="200"/>
        <w:outlineLvl w:val="1"/>
        <w:rPr>
          <w:rFonts w:hint="default" w:ascii="宋体" w:hAnsi="宋体" w:eastAsia="宋体" w:cs="宋体"/>
          <w:sz w:val="20"/>
          <w:szCs w:val="20"/>
          <w:lang w:val="en-US" w:eastAsia="zh-CN"/>
        </w:rPr>
      </w:pPr>
      <w:r>
        <w:rPr>
          <w:rFonts w:hint="default" w:ascii="宋体" w:hAnsi="宋体" w:eastAsia="宋体" w:cs="宋体"/>
          <w:sz w:val="20"/>
          <w:szCs w:val="20"/>
          <w:lang w:val="en-US" w:eastAsia="zh-CN"/>
        </w:rPr>
        <w:t>在最高层指挥和控制</w:t>
      </w:r>
      <w:r>
        <w:rPr>
          <w:rFonts w:hint="eastAsia" w:ascii="宋体" w:hAnsi="宋体" w:eastAsia="宋体" w:cs="宋体"/>
          <w:sz w:val="20"/>
          <w:szCs w:val="20"/>
          <w:lang w:val="en-US" w:eastAsia="zh-CN"/>
        </w:rPr>
        <w:t>驻库机构</w:t>
      </w:r>
      <w:r>
        <w:rPr>
          <w:rFonts w:hint="default" w:ascii="宋体" w:hAnsi="宋体" w:eastAsia="宋体" w:cs="宋体"/>
          <w:sz w:val="20"/>
          <w:szCs w:val="20"/>
          <w:lang w:val="en-US" w:eastAsia="zh-CN"/>
        </w:rPr>
        <w:t>的一个人或一组人</w:t>
      </w:r>
      <w:r>
        <w:rPr>
          <w:rFonts w:hint="eastAsia" w:ascii="宋体" w:hAnsi="宋体" w:eastAsia="宋体" w:cs="宋体"/>
          <w:sz w:val="20"/>
          <w:szCs w:val="20"/>
          <w:lang w:val="en-US" w:eastAsia="zh-CN"/>
        </w:rPr>
        <w:t>，一般由主检机构负责人和配合机构负责人组成。</w:t>
      </w:r>
    </w:p>
    <w:p w14:paraId="75AA6A1B">
      <w:pPr>
        <w:autoSpaceDE/>
        <w:autoSpaceDN/>
        <w:spacing w:before="0" w:beforeLines="50" w:afterLines="50" w:line="240" w:lineRule="auto"/>
        <w:outlineLvl w:val="9"/>
        <w:rPr>
          <w:rFonts w:hint="eastAsia" w:ascii="黑体" w:hAnsi="黑体" w:eastAsia="黑体" w:cs="黑体"/>
          <w:color w:val="000000"/>
          <w:spacing w:val="0"/>
          <w:sz w:val="21"/>
          <w:szCs w:val="21"/>
          <w:lang w:val="en-US" w:eastAsia="zh-CN"/>
        </w:rPr>
      </w:pPr>
      <w:r>
        <w:rPr>
          <w:rFonts w:hint="eastAsia" w:ascii="黑体" w:hAnsi="黑体" w:eastAsia="黑体" w:cs="黑体"/>
          <w:color w:val="000000"/>
          <w:spacing w:val="0"/>
          <w:sz w:val="21"/>
          <w:szCs w:val="21"/>
          <w:lang w:val="en-US" w:eastAsia="zh-CN"/>
        </w:rPr>
        <w:t xml:space="preserve">3.4 </w:t>
      </w:r>
    </w:p>
    <w:p w14:paraId="1901AD74">
      <w:pPr>
        <w:autoSpaceDE/>
        <w:autoSpaceDN/>
        <w:spacing w:before="0" w:beforeLines="50" w:afterLines="50" w:line="240" w:lineRule="auto"/>
        <w:ind w:firstLine="420" w:firstLineChars="200"/>
        <w:outlineLvl w:val="9"/>
        <w:rPr>
          <w:rFonts w:hint="eastAsia" w:ascii="黑体" w:hAnsi="黑体" w:eastAsia="黑体" w:cs="黑体"/>
          <w:spacing w:val="0"/>
          <w:sz w:val="21"/>
          <w:szCs w:val="21"/>
          <w:lang w:val="en-US" w:eastAsia="zh-CN"/>
        </w:rPr>
      </w:pPr>
      <w:r>
        <w:rPr>
          <w:rFonts w:hint="eastAsia" w:ascii="黑体" w:hAnsi="黑体" w:eastAsia="黑体" w:cs="黑体"/>
          <w:color w:val="000000"/>
          <w:spacing w:val="0"/>
          <w:sz w:val="21"/>
          <w:szCs w:val="21"/>
          <w:lang w:val="en-US" w:eastAsia="zh-CN"/>
        </w:rPr>
        <w:t xml:space="preserve">驻库检验机构 </w:t>
      </w:r>
      <w:r>
        <w:rPr>
          <w:rFonts w:hint="eastAsia" w:ascii="黑体" w:hAnsi="黑体" w:eastAsia="黑体" w:cs="黑体"/>
          <w:spacing w:val="0"/>
          <w:sz w:val="21"/>
          <w:szCs w:val="21"/>
          <w:highlight w:val="none"/>
          <w:lang w:val="en-US" w:eastAsia="zh-CN"/>
        </w:rPr>
        <w:t>institution on site in the warehouse</w:t>
      </w:r>
    </w:p>
    <w:p w14:paraId="67953484">
      <w:pPr>
        <w:spacing w:before="79" w:line="261" w:lineRule="auto"/>
        <w:ind w:left="6" w:right="1" w:firstLine="421"/>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负责实施全国棉花公证检验现场检验的纤维检验机构，包括主检机构和配合机构。</w:t>
      </w:r>
    </w:p>
    <w:p w14:paraId="4767E0D1">
      <w:pPr>
        <w:autoSpaceDE/>
        <w:autoSpaceDN/>
        <w:spacing w:before="0" w:beforeLines="50" w:afterLines="50" w:line="240" w:lineRule="auto"/>
        <w:rPr>
          <w:rFonts w:hint="eastAsia" w:ascii="黑体" w:hAnsi="黑体" w:eastAsia="黑体" w:cs="黑体"/>
          <w:spacing w:val="0"/>
          <w:sz w:val="21"/>
          <w:szCs w:val="21"/>
          <w:lang w:val="en-US" w:eastAsia="zh-CN"/>
        </w:rPr>
      </w:pPr>
      <w:r>
        <w:rPr>
          <w:rFonts w:hint="eastAsia" w:ascii="黑体" w:hAnsi="黑体" w:eastAsia="黑体" w:cs="黑体"/>
          <w:spacing w:val="0"/>
          <w:sz w:val="21"/>
          <w:szCs w:val="21"/>
          <w:lang w:val="en-US" w:eastAsia="zh-CN"/>
        </w:rPr>
        <w:t xml:space="preserve">3.5 </w:t>
      </w:r>
    </w:p>
    <w:p w14:paraId="473BAD9A">
      <w:pPr>
        <w:autoSpaceDE/>
        <w:autoSpaceDN/>
        <w:spacing w:before="0" w:beforeLines="50" w:afterLines="50" w:line="240" w:lineRule="auto"/>
        <w:ind w:firstLine="420" w:firstLineChars="200"/>
        <w:outlineLvl w:val="9"/>
        <w:rPr>
          <w:rFonts w:hint="eastAsia" w:ascii="黑体" w:hAnsi="黑体" w:eastAsia="黑体" w:cs="黑体"/>
          <w:spacing w:val="0"/>
          <w:sz w:val="21"/>
          <w:szCs w:val="21"/>
          <w:highlight w:val="none"/>
          <w:lang w:val="en-US" w:eastAsia="zh-CN"/>
        </w:rPr>
      </w:pPr>
      <w:r>
        <w:rPr>
          <w:rFonts w:hint="eastAsia" w:ascii="黑体" w:hAnsi="黑体" w:eastAsia="黑体" w:cs="黑体"/>
          <w:spacing w:val="0"/>
          <w:sz w:val="21"/>
          <w:szCs w:val="21"/>
          <w:highlight w:val="none"/>
          <w:lang w:val="en-US" w:eastAsia="zh-CN"/>
        </w:rPr>
        <w:t xml:space="preserve">主检机构 main inspection institution  </w:t>
      </w:r>
    </w:p>
    <w:p w14:paraId="0F767308">
      <w:pPr>
        <w:spacing w:before="79" w:line="261" w:lineRule="auto"/>
        <w:ind w:left="6" w:right="1" w:firstLine="421"/>
        <w:rPr>
          <w:rFonts w:hint="default" w:ascii="宋体" w:hAnsi="宋体" w:eastAsia="宋体" w:cs="宋体"/>
          <w:spacing w:val="8"/>
          <w:sz w:val="20"/>
          <w:szCs w:val="20"/>
          <w:highlight w:val="none"/>
          <w:lang w:val="en-US" w:eastAsia="zh-CN"/>
        </w:rPr>
      </w:pPr>
      <w:r>
        <w:rPr>
          <w:rFonts w:hint="eastAsia" w:ascii="宋体" w:hAnsi="宋体" w:eastAsia="宋体" w:cs="宋体"/>
          <w:spacing w:val="8"/>
          <w:sz w:val="20"/>
          <w:szCs w:val="20"/>
          <w:highlight w:val="none"/>
          <w:lang w:val="en-US" w:eastAsia="zh-CN"/>
        </w:rPr>
        <w:t>负责组织和实施棉花公证检验现场检验工作的驻库检验机构。</w:t>
      </w:r>
    </w:p>
    <w:p w14:paraId="13E4C752">
      <w:pPr>
        <w:autoSpaceDE/>
        <w:autoSpaceDN/>
        <w:spacing w:before="0" w:beforeLines="50" w:afterLines="50" w:line="240" w:lineRule="auto"/>
        <w:ind w:left="0"/>
        <w:rPr>
          <w:rFonts w:hint="eastAsia" w:ascii="黑体" w:hAnsi="黑体" w:eastAsia="黑体" w:cs="黑体"/>
          <w:spacing w:val="0"/>
          <w:sz w:val="21"/>
          <w:szCs w:val="21"/>
          <w:lang w:val="en-US" w:eastAsia="zh-CN"/>
        </w:rPr>
      </w:pPr>
      <w:r>
        <w:rPr>
          <w:rFonts w:hint="eastAsia" w:ascii="黑体" w:hAnsi="黑体" w:eastAsia="黑体" w:cs="黑体"/>
          <w:spacing w:val="0"/>
          <w:sz w:val="21"/>
          <w:szCs w:val="21"/>
          <w:lang w:val="en-US" w:eastAsia="zh-CN"/>
        </w:rPr>
        <w:t xml:space="preserve">3.6 </w:t>
      </w:r>
    </w:p>
    <w:p w14:paraId="6E101E81">
      <w:pPr>
        <w:autoSpaceDE/>
        <w:autoSpaceDN/>
        <w:spacing w:before="0" w:beforeLines="50" w:afterLines="50" w:line="240" w:lineRule="auto"/>
        <w:ind w:left="0" w:firstLine="420" w:firstLineChars="200"/>
        <w:outlineLvl w:val="9"/>
        <w:rPr>
          <w:rFonts w:hint="eastAsia" w:ascii="黑体" w:hAnsi="黑体" w:eastAsia="黑体" w:cs="黑体"/>
          <w:spacing w:val="0"/>
          <w:sz w:val="21"/>
          <w:szCs w:val="21"/>
          <w:lang w:val="en-US" w:eastAsia="zh-CN"/>
        </w:rPr>
      </w:pPr>
      <w:r>
        <w:rPr>
          <w:rFonts w:hint="eastAsia" w:ascii="黑体" w:hAnsi="黑体" w:eastAsia="黑体" w:cs="黑体"/>
          <w:spacing w:val="0"/>
          <w:sz w:val="21"/>
          <w:szCs w:val="21"/>
          <w:lang w:val="en-US" w:eastAsia="zh-CN"/>
        </w:rPr>
        <w:t>配合机构 auxiliary inspection institution</w:t>
      </w:r>
    </w:p>
    <w:p w14:paraId="05077408">
      <w:pPr>
        <w:spacing w:before="79" w:line="261" w:lineRule="auto"/>
        <w:ind w:left="6" w:right="1" w:firstLine="421" w:firstLineChars="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配合主检机构完成</w:t>
      </w:r>
      <w:r>
        <w:rPr>
          <w:rFonts w:hint="eastAsia" w:ascii="宋体" w:hAnsi="宋体" w:eastAsia="宋体" w:cs="宋体"/>
          <w:spacing w:val="8"/>
          <w:sz w:val="20"/>
          <w:szCs w:val="20"/>
          <w:highlight w:val="none"/>
          <w:lang w:val="en-US" w:eastAsia="zh-CN"/>
        </w:rPr>
        <w:t>棉花公证检验现场检验工作的</w:t>
      </w:r>
      <w:r>
        <w:rPr>
          <w:rFonts w:hint="eastAsia" w:ascii="宋体" w:hAnsi="宋体" w:eastAsia="宋体" w:cs="宋体"/>
          <w:spacing w:val="8"/>
          <w:sz w:val="20"/>
          <w:szCs w:val="20"/>
          <w:lang w:val="en-US" w:eastAsia="zh-CN"/>
        </w:rPr>
        <w:t>驻库检验机构。</w:t>
      </w:r>
    </w:p>
    <w:p w14:paraId="3DAB1C92">
      <w:pPr>
        <w:pStyle w:val="3"/>
        <w:spacing w:beforeLines="100" w:afterLines="100" w:line="240" w:lineRule="auto"/>
        <w:outlineLvl w:val="0"/>
        <w:rPr>
          <w:rFonts w:hint="default" w:ascii="黑体" w:hAnsi="黑体" w:eastAsia="黑体" w:cs="黑体"/>
          <w:spacing w:val="-3"/>
          <w:sz w:val="20"/>
          <w:szCs w:val="20"/>
          <w:lang w:val="en-US" w:eastAsia="zh-CN"/>
        </w:rPr>
      </w:pPr>
      <w:bookmarkStart w:id="15" w:name="_Toc9996"/>
      <w:r>
        <w:rPr>
          <w:spacing w:val="-3"/>
          <w:sz w:val="20"/>
          <w:szCs w:val="20"/>
        </w:rPr>
        <w:t xml:space="preserve">4  </w:t>
      </w:r>
      <w:bookmarkEnd w:id="15"/>
      <w:r>
        <w:rPr>
          <w:rFonts w:hint="default"/>
          <w:spacing w:val="-3"/>
          <w:sz w:val="20"/>
          <w:szCs w:val="20"/>
          <w:lang w:val="en-US" w:eastAsia="zh-CN"/>
        </w:rPr>
        <w:t>领导作用与全员参与</w:t>
      </w:r>
    </w:p>
    <w:p w14:paraId="571FA148">
      <w:pPr>
        <w:pStyle w:val="3"/>
        <w:spacing w:before="0" w:beforeLines="50" w:afterLines="50" w:line="240" w:lineRule="auto"/>
        <w:outlineLvl w:val="1"/>
        <w:rPr>
          <w:rFonts w:hint="default"/>
          <w:spacing w:val="4"/>
          <w:sz w:val="20"/>
          <w:szCs w:val="20"/>
          <w:lang w:val="en-US" w:eastAsia="zh-CN"/>
        </w:rPr>
      </w:pPr>
      <w:bookmarkStart w:id="16" w:name="_Toc22795"/>
      <w:r>
        <w:rPr>
          <w:spacing w:val="4"/>
          <w:sz w:val="20"/>
          <w:szCs w:val="20"/>
        </w:rPr>
        <w:t>4.</w:t>
      </w:r>
      <w:r>
        <w:rPr>
          <w:rFonts w:hint="eastAsia"/>
          <w:spacing w:val="4"/>
          <w:sz w:val="20"/>
          <w:szCs w:val="20"/>
          <w:lang w:val="en-US" w:eastAsia="zh-CN"/>
        </w:rPr>
        <w:t xml:space="preserve">1 </w:t>
      </w:r>
      <w:bookmarkEnd w:id="16"/>
      <w:r>
        <w:rPr>
          <w:rFonts w:hint="eastAsia"/>
          <w:spacing w:val="4"/>
          <w:sz w:val="20"/>
          <w:szCs w:val="20"/>
          <w:lang w:val="en-US" w:eastAsia="zh-CN"/>
        </w:rPr>
        <w:t>领导作用</w:t>
      </w:r>
    </w:p>
    <w:p w14:paraId="0BE8CF2A">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最高管理者应通过以下方式证实其在安全管理方面的领导作用并承诺: </w:t>
      </w:r>
    </w:p>
    <w:p w14:paraId="4BEB50B2">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对安全管理及其绩效全面负责并承担责任;</w:t>
      </w:r>
    </w:p>
    <w:p w14:paraId="1EBE02AB">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sz w:val="20"/>
          <w:szCs w:val="20"/>
          <w:lang w:val="en-US" w:eastAsia="zh-CN"/>
        </w:rPr>
        <w:t>确保本文件的安全管理要求融</w:t>
      </w:r>
      <w:r>
        <w:rPr>
          <w:rFonts w:hint="eastAsia" w:ascii="宋体" w:hAnsi="宋体" w:eastAsia="宋体" w:cs="宋体"/>
          <w:color w:val="auto"/>
          <w:sz w:val="20"/>
          <w:szCs w:val="20"/>
          <w:lang w:val="en-US" w:eastAsia="zh-CN"/>
        </w:rPr>
        <w:t>入现场检验过程之中;</w:t>
      </w:r>
    </w:p>
    <w:p w14:paraId="31490454">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确保建立、实施、保持和改进安全管理要求所需的资源;</w:t>
      </w:r>
    </w:p>
    <w:p w14:paraId="0768DC00">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就有效的安全管理和符合本文件要求的重要性进行沟通;</w:t>
      </w:r>
    </w:p>
    <w:p w14:paraId="63D67234">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确保安全管理实现其预期结果;</w:t>
      </w:r>
    </w:p>
    <w:p w14:paraId="0DE5CE54">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指导并支持保持和增强安全管理绩效的有效性行为;</w:t>
      </w:r>
    </w:p>
    <w:p w14:paraId="3D711172">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确保并促进安全绩效和安全管理要求的持续改进；</w:t>
      </w:r>
    </w:p>
    <w:p w14:paraId="355BF5EF">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color w:val="auto"/>
          <w:sz w:val="20"/>
          <w:szCs w:val="20"/>
          <w:lang w:val="en-US" w:eastAsia="zh-CN"/>
        </w:rPr>
        <w:t>支持和监督现场检验其他管理者在其职责范</w:t>
      </w:r>
      <w:r>
        <w:rPr>
          <w:rFonts w:hint="eastAsia" w:ascii="宋体" w:hAnsi="宋体" w:eastAsia="宋体" w:cs="宋体"/>
          <w:sz w:val="20"/>
          <w:szCs w:val="20"/>
          <w:lang w:val="en-US" w:eastAsia="zh-CN"/>
        </w:rPr>
        <w:t>围内发挥领导作用；</w:t>
      </w:r>
    </w:p>
    <w:p w14:paraId="34455163">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在组织内建立、引导和促进安全文化;</w:t>
      </w:r>
    </w:p>
    <w:p w14:paraId="57D7D594">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保护各种有利于安全保障的做法和行动，保护棉花公证检验人员不因报告隐患、违规行为、事件等而遭受报复;</w:t>
      </w:r>
    </w:p>
    <w:p w14:paraId="76076F90">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强化对重大危险源、重大安全风险、重大事故隐患以及新型风险的关注和控制;</w:t>
      </w:r>
    </w:p>
    <w:p w14:paraId="773DD0B1">
      <w:pPr>
        <w:pStyle w:val="3"/>
        <w:numPr>
          <w:ilvl w:val="0"/>
          <w:numId w:val="1"/>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确保充分考虑相关方的安全需求和期望，必要时，建立、实施其协商和参与的过程；</w:t>
      </w:r>
    </w:p>
    <w:p w14:paraId="69DB6E7C">
      <w:pPr>
        <w:pStyle w:val="3"/>
        <w:numPr>
          <w:ilvl w:val="0"/>
          <w:numId w:val="1"/>
        </w:numPr>
        <w:autoSpaceDE/>
        <w:autoSpaceDN/>
        <w:spacing w:before="0" w:line="240" w:lineRule="auto"/>
        <w:ind w:left="420" w:leftChars="200" w:firstLine="0" w:firstLineChars="0"/>
        <w:outlineLvl w:val="1"/>
        <w:rPr>
          <w:rFonts w:hint="default"/>
          <w:spacing w:val="4"/>
          <w:sz w:val="20"/>
          <w:szCs w:val="20"/>
          <w:lang w:val="en-US" w:eastAsia="zh-CN"/>
        </w:rPr>
      </w:pPr>
      <w:r>
        <w:rPr>
          <w:rFonts w:hint="eastAsia" w:ascii="宋体" w:hAnsi="宋体" w:eastAsia="宋体" w:cs="宋体"/>
          <w:sz w:val="20"/>
          <w:szCs w:val="20"/>
          <w:lang w:val="en-US" w:eastAsia="zh-CN"/>
        </w:rPr>
        <w:t>必要时，支持在组织内建立和运行安全管理委员会或工作组。</w:t>
      </w:r>
    </w:p>
    <w:p w14:paraId="74453D72">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4.2 省级纤维检验机构负责相关法律法规和标准的宣贯，能力提升，品牌建设，负责现场检验安全工作的督导、资源的调配以及运行的评价。 </w:t>
      </w:r>
    </w:p>
    <w:p w14:paraId="6C5C7ADD">
      <w:pPr>
        <w:pStyle w:val="3"/>
        <w:numPr>
          <w:ilvl w:val="-1"/>
          <w:numId w:val="0"/>
        </w:numPr>
        <w:spacing w:before="0" w:beforeLines="50" w:afterLines="50" w:line="240" w:lineRule="auto"/>
        <w:outlineLvl w:val="1"/>
        <w:rPr>
          <w:rFonts w:hint="default"/>
          <w:spacing w:val="4"/>
          <w:sz w:val="21"/>
          <w:szCs w:val="21"/>
          <w:lang w:val="en-US" w:eastAsia="zh-CN"/>
        </w:rPr>
      </w:pPr>
    </w:p>
    <w:p w14:paraId="3B9A3D6B">
      <w:pPr>
        <w:pStyle w:val="3"/>
        <w:numPr>
          <w:ilvl w:val="-1"/>
          <w:numId w:val="0"/>
        </w:numPr>
        <w:spacing w:before="0" w:beforeLines="50" w:afterLines="50" w:line="240" w:lineRule="auto"/>
        <w:outlineLvl w:val="1"/>
        <w:rPr>
          <w:rFonts w:hint="default"/>
          <w:spacing w:val="4"/>
          <w:sz w:val="21"/>
          <w:szCs w:val="21"/>
          <w:lang w:val="en-US" w:eastAsia="zh-CN"/>
        </w:rPr>
      </w:pPr>
      <w:r>
        <w:rPr>
          <w:rFonts w:hint="default"/>
          <w:spacing w:val="4"/>
          <w:sz w:val="21"/>
          <w:szCs w:val="21"/>
          <w:lang w:val="en-US" w:eastAsia="zh-CN"/>
        </w:rPr>
        <w:t>4.2 机构职责和权限</w:t>
      </w:r>
    </w:p>
    <w:p w14:paraId="7A8C53FE">
      <w:pPr>
        <w:pStyle w:val="3"/>
        <w:numPr>
          <w:ilvl w:val="-1"/>
          <w:numId w:val="0"/>
        </w:numPr>
        <w:spacing w:before="0" w:beforeLines="50" w:afterLines="50" w:line="240" w:lineRule="auto"/>
        <w:ind w:leftChars="0"/>
        <w:outlineLvl w:val="1"/>
        <w:rPr>
          <w:rFonts w:hint="default" w:ascii="黑体" w:hAnsi="黑体" w:eastAsia="黑体" w:cs="黑体"/>
          <w:spacing w:val="4"/>
          <w:sz w:val="21"/>
          <w:szCs w:val="21"/>
          <w:lang w:val="en-US" w:eastAsia="zh-CN"/>
        </w:rPr>
      </w:pPr>
      <w:r>
        <w:rPr>
          <w:rFonts w:hint="default" w:ascii="黑体" w:hAnsi="黑体" w:eastAsia="黑体" w:cs="黑体"/>
          <w:spacing w:val="4"/>
          <w:sz w:val="21"/>
          <w:szCs w:val="21"/>
          <w:lang w:val="en-US" w:eastAsia="zh-CN"/>
        </w:rPr>
        <w:t>4.2.1 最高管理者</w:t>
      </w:r>
    </w:p>
    <w:p w14:paraId="1D57577F">
      <w:pPr>
        <w:pStyle w:val="3"/>
        <w:numPr>
          <w:ilvl w:val="0"/>
          <w:numId w:val="0"/>
        </w:numPr>
        <w:spacing w:before="0" w:line="24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最高管理者应确保将安全管理范围内相关角色及其职责、权限分配到组织内各层次并予以沟通，且作为文件化信息予以保持。组织内每一层次的棉花公证检验人员均应承担其所控制部分安全管理职责。 </w:t>
      </w:r>
    </w:p>
    <w:p w14:paraId="4DB1887D">
      <w:pPr>
        <w:pStyle w:val="3"/>
        <w:numPr>
          <w:ilvl w:val="-1"/>
          <w:numId w:val="0"/>
        </w:numPr>
        <w:spacing w:before="0" w:beforeLines="50" w:afterLines="50" w:line="240" w:lineRule="auto"/>
        <w:ind w:leftChars="0"/>
        <w:outlineLvl w:val="1"/>
        <w:rPr>
          <w:rFonts w:hint="default" w:ascii="黑体" w:hAnsi="黑体" w:eastAsia="黑体" w:cs="黑体"/>
          <w:spacing w:val="4"/>
          <w:sz w:val="21"/>
          <w:szCs w:val="21"/>
          <w:lang w:val="en-US" w:eastAsia="zh-CN"/>
        </w:rPr>
      </w:pPr>
      <w:r>
        <w:rPr>
          <w:rFonts w:hint="default" w:ascii="黑体" w:hAnsi="黑体" w:eastAsia="黑体" w:cs="黑体"/>
          <w:spacing w:val="4"/>
          <w:sz w:val="21"/>
          <w:szCs w:val="21"/>
          <w:lang w:val="en-US" w:eastAsia="zh-CN"/>
        </w:rPr>
        <w:t>4.2.2 管理者代表</w:t>
      </w:r>
    </w:p>
    <w:p w14:paraId="546CC915">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驻库机构最高管理者应在本机构管理层中明确一名成员，无论该成员在其他方面的职责如何，应使其具有以下方面的职责和权限:</w:t>
      </w:r>
    </w:p>
    <w:p w14:paraId="3D3573C4">
      <w:pPr>
        <w:pStyle w:val="3"/>
        <w:numPr>
          <w:ilvl w:val="0"/>
          <w:numId w:val="2"/>
        </w:numPr>
        <w:spacing w:before="66" w:line="230" w:lineRule="auto"/>
        <w:ind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按本文件的要求建立、实施和保持安全管理所需的过程；</w:t>
      </w:r>
    </w:p>
    <w:p w14:paraId="0E61B9D9">
      <w:pPr>
        <w:pStyle w:val="3"/>
        <w:numPr>
          <w:ilvl w:val="0"/>
          <w:numId w:val="2"/>
        </w:numPr>
        <w:spacing w:before="66" w:line="230" w:lineRule="auto"/>
        <w:ind w:left="0"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向最高管理者报告安全管理的绩效和任何改进的需求；</w:t>
      </w:r>
    </w:p>
    <w:p w14:paraId="59462C60">
      <w:pPr>
        <w:pStyle w:val="3"/>
        <w:numPr>
          <w:ilvl w:val="0"/>
          <w:numId w:val="2"/>
        </w:numPr>
        <w:spacing w:before="66" w:line="230" w:lineRule="auto"/>
        <w:ind w:left="0"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向棉花公证检验人员传达满足安全法规及相关文件的重要性；</w:t>
      </w:r>
    </w:p>
    <w:p w14:paraId="5AFE07B9">
      <w:pPr>
        <w:pStyle w:val="3"/>
        <w:numPr>
          <w:ilvl w:val="0"/>
          <w:numId w:val="2"/>
        </w:numPr>
        <w:spacing w:before="66" w:line="230" w:lineRule="auto"/>
        <w:ind w:left="0"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就安全管理有关事宜与外部方进行联络。</w:t>
      </w:r>
    </w:p>
    <w:p w14:paraId="1730035E">
      <w:pPr>
        <w:pStyle w:val="3"/>
        <w:numPr>
          <w:ilvl w:val="0"/>
          <w:numId w:val="0"/>
        </w:numPr>
        <w:spacing w:before="66" w:line="230" w:lineRule="auto"/>
        <w:ind w:leftChars="200"/>
        <w:outlineLvl w:val="1"/>
        <w:rPr>
          <w:rFonts w:hint="default" w:ascii="宋体" w:hAnsi="宋体" w:eastAsia="宋体" w:cs="宋体"/>
          <w:sz w:val="20"/>
          <w:szCs w:val="20"/>
          <w:lang w:val="en-US" w:eastAsia="zh-CN"/>
        </w:rPr>
      </w:pPr>
    </w:p>
    <w:p w14:paraId="15156BD7">
      <w:pPr>
        <w:pStyle w:val="3"/>
        <w:numPr>
          <w:ilvl w:val="-1"/>
          <w:numId w:val="0"/>
        </w:numPr>
        <w:spacing w:before="0" w:beforeLines="50" w:afterLines="50" w:line="240" w:lineRule="auto"/>
        <w:ind w:leftChars="0"/>
        <w:outlineLvl w:val="1"/>
        <w:rPr>
          <w:rFonts w:hint="eastAsia" w:ascii="黑体" w:hAnsi="黑体" w:eastAsia="黑体" w:cs="黑体"/>
          <w:spacing w:val="4"/>
          <w:sz w:val="21"/>
          <w:szCs w:val="21"/>
          <w:lang w:val="en-US" w:eastAsia="zh-CN"/>
        </w:rPr>
      </w:pPr>
      <w:r>
        <w:rPr>
          <w:rFonts w:hint="default" w:ascii="黑体" w:hAnsi="黑体" w:eastAsia="黑体" w:cs="黑体"/>
          <w:spacing w:val="4"/>
          <w:sz w:val="21"/>
          <w:szCs w:val="21"/>
          <w:lang w:val="en-US" w:eastAsia="zh-CN"/>
        </w:rPr>
        <w:t>4.2.3 安全管理</w:t>
      </w:r>
      <w:r>
        <w:rPr>
          <w:rFonts w:hint="eastAsia" w:cs="黑体"/>
          <w:spacing w:val="4"/>
          <w:sz w:val="21"/>
          <w:szCs w:val="21"/>
          <w:lang w:val="en-US" w:eastAsia="zh-CN"/>
        </w:rPr>
        <w:t>委员会（</w:t>
      </w:r>
      <w:r>
        <w:rPr>
          <w:rFonts w:hint="default" w:ascii="黑体" w:hAnsi="黑体" w:eastAsia="黑体" w:cs="黑体"/>
          <w:spacing w:val="4"/>
          <w:sz w:val="21"/>
          <w:szCs w:val="21"/>
          <w:lang w:val="en-US" w:eastAsia="zh-CN"/>
        </w:rPr>
        <w:t>工作组</w:t>
      </w:r>
      <w:r>
        <w:rPr>
          <w:rFonts w:hint="eastAsia"/>
          <w:lang w:eastAsia="zh-CN"/>
        </w:rPr>
        <w:t>）</w:t>
      </w:r>
    </w:p>
    <w:p w14:paraId="5CDBAB50">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4.2.3.1 主检机构管理者代表为现场检验安全管理总负责人,应根据承检仓库的检验工作量和检验区域的大小成立安全管理委员会或工作组（以下统称安委会），并兼安全管理委员会主任（组长）。</w:t>
      </w:r>
    </w:p>
    <w:p w14:paraId="4610C548">
      <w:pPr>
        <w:pStyle w:val="3"/>
        <w:numPr>
          <w:ilvl w:val="0"/>
          <w:numId w:val="0"/>
        </w:numPr>
        <w:spacing w:before="66" w:line="230" w:lineRule="auto"/>
        <w:ind w:left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4.2.3.2 安委会成员应由3名及以上驻库机构管代组成，负责现场检验安全管理工作。安委会应报任务下达部门、承检仓库、相关行政主管部门及省级纤维检验机构备案。</w:t>
      </w:r>
    </w:p>
    <w:p w14:paraId="50488337">
      <w:pPr>
        <w:pStyle w:val="3"/>
        <w:numPr>
          <w:ilvl w:val="0"/>
          <w:numId w:val="0"/>
        </w:numPr>
        <w:spacing w:before="66" w:line="230" w:lineRule="auto"/>
        <w:ind w:leftChars="0"/>
        <w:outlineLvl w:val="1"/>
        <w:rPr>
          <w:rFonts w:hint="eastAsia" w:ascii="宋体" w:hAnsi="宋体" w:eastAsia="宋体" w:cs="宋体"/>
          <w:sz w:val="20"/>
          <w:szCs w:val="20"/>
          <w:lang w:val="en-US" w:eastAsia="zh-CN"/>
        </w:rPr>
      </w:pPr>
      <w:bookmarkStart w:id="17" w:name="_Toc16810"/>
      <w:bookmarkStart w:id="18" w:name="_Toc25381"/>
      <w:r>
        <w:rPr>
          <w:rFonts w:hint="eastAsia" w:ascii="宋体" w:hAnsi="宋体" w:eastAsia="宋体" w:cs="宋体"/>
          <w:sz w:val="20"/>
          <w:szCs w:val="20"/>
          <w:lang w:val="en-US" w:eastAsia="zh-CN"/>
        </w:rPr>
        <w:t>4.2.3.3委会应履行以下职责和权限：</w:t>
      </w:r>
      <w:bookmarkEnd w:id="17"/>
      <w:bookmarkEnd w:id="18"/>
    </w:p>
    <w:p w14:paraId="7A7ACB15">
      <w:pPr>
        <w:pStyle w:val="3"/>
        <w:numPr>
          <w:ilvl w:val="0"/>
          <w:numId w:val="0"/>
        </w:numPr>
        <w:spacing w:before="66" w:line="230" w:lineRule="auto"/>
        <w:ind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a) 确保现场检验安全管理符合相关法律法规及本文件的要求；</w:t>
      </w:r>
    </w:p>
    <w:p w14:paraId="4ED7FF8D">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b) 定期和不定期的向最高管理者报告安全管理的实际情况。</w:t>
      </w:r>
    </w:p>
    <w:p w14:paraId="0D505157">
      <w:pPr>
        <w:pStyle w:val="3"/>
        <w:spacing w:before="0" w:beforeLines="50" w:afterLines="50" w:line="240" w:lineRule="auto"/>
        <w:outlineLvl w:val="1"/>
        <w:rPr>
          <w:rFonts w:hint="default"/>
          <w:spacing w:val="4"/>
          <w:sz w:val="20"/>
          <w:szCs w:val="20"/>
          <w:lang w:val="en-US" w:eastAsia="zh-CN"/>
        </w:rPr>
      </w:pPr>
      <w:bookmarkStart w:id="19" w:name="_Toc21734"/>
      <w:r>
        <w:rPr>
          <w:rFonts w:hint="default"/>
          <w:spacing w:val="4"/>
          <w:sz w:val="20"/>
          <w:szCs w:val="20"/>
          <w:lang w:val="en-US" w:eastAsia="zh-CN"/>
        </w:rPr>
        <w:t>4.3 人员</w:t>
      </w:r>
      <w:bookmarkEnd w:id="19"/>
    </w:p>
    <w:p w14:paraId="76BD7EF3">
      <w:pPr>
        <w:pStyle w:val="3"/>
        <w:numPr>
          <w:ilvl w:val="0"/>
          <w:numId w:val="0"/>
        </w:numPr>
        <w:spacing w:before="66" w:line="230" w:lineRule="auto"/>
        <w:ind w:left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4.3.1 参与现场检验的棉花公证检验人员</w:t>
      </w:r>
      <w:r>
        <w:rPr>
          <w:rFonts w:hint="eastAsia" w:ascii="宋体" w:hAnsi="宋体" w:eastAsia="宋体" w:cs="宋体"/>
          <w:color w:val="auto"/>
          <w:sz w:val="20"/>
          <w:szCs w:val="20"/>
          <w:lang w:val="en-US" w:eastAsia="zh-CN"/>
        </w:rPr>
        <w:t>须提供年度体检报告且身体</w:t>
      </w:r>
      <w:r>
        <w:rPr>
          <w:rFonts w:hint="eastAsia" w:ascii="宋体" w:hAnsi="宋体" w:eastAsia="宋体" w:cs="宋体"/>
          <w:sz w:val="20"/>
          <w:szCs w:val="20"/>
          <w:lang w:val="en-US" w:eastAsia="zh-CN"/>
        </w:rPr>
        <w:t>健康，年龄在65周岁以下，能够适应高、低温的工作环境。驻库检验机构每年安排的赴疆棉花公证检验人员，应报任务下达部门、省级纤维检验机构备案。</w:t>
      </w:r>
    </w:p>
    <w:p w14:paraId="7D716FA5">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4.3.2 驻库检验机构应从棉花公证检验人员中选举产生1名员工代表，在安全事务上代表本机构全体棉花公证检验人员的根本利益，并行使以下职责和权利：</w:t>
      </w:r>
    </w:p>
    <w:p w14:paraId="2B8DC265">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a) </w:t>
      </w:r>
      <w:r>
        <w:rPr>
          <w:rFonts w:hint="default" w:ascii="宋体" w:hAnsi="宋体" w:eastAsia="宋体" w:cs="宋体"/>
          <w:sz w:val="20"/>
          <w:szCs w:val="20"/>
          <w:lang w:val="en-US" w:eastAsia="zh-CN"/>
        </w:rPr>
        <w:t>定期收集和倾听对</w:t>
      </w:r>
      <w:r>
        <w:rPr>
          <w:rFonts w:hint="eastAsia" w:ascii="宋体" w:hAnsi="宋体" w:eastAsia="宋体" w:cs="宋体"/>
          <w:sz w:val="20"/>
          <w:szCs w:val="20"/>
          <w:lang w:val="en-US" w:eastAsia="zh-CN"/>
        </w:rPr>
        <w:t>安全</w:t>
      </w:r>
      <w:r>
        <w:rPr>
          <w:rFonts w:hint="default" w:ascii="宋体" w:hAnsi="宋体" w:eastAsia="宋体" w:cs="宋体"/>
          <w:sz w:val="20"/>
          <w:szCs w:val="20"/>
          <w:lang w:val="en-US" w:eastAsia="zh-CN"/>
        </w:rPr>
        <w:t>管理工作的意见和建议</w:t>
      </w:r>
      <w:r>
        <w:rPr>
          <w:rFonts w:hint="eastAsia" w:ascii="宋体" w:hAnsi="宋体" w:eastAsia="宋体" w:cs="宋体"/>
          <w:sz w:val="20"/>
          <w:szCs w:val="20"/>
          <w:lang w:val="en-US" w:eastAsia="zh-CN"/>
        </w:rPr>
        <w:t>；</w:t>
      </w:r>
    </w:p>
    <w:p w14:paraId="7E35B79B">
      <w:pPr>
        <w:pStyle w:val="3"/>
        <w:numPr>
          <w:ilvl w:val="0"/>
          <w:numId w:val="0"/>
        </w:numPr>
        <w:spacing w:before="66" w:line="230" w:lineRule="auto"/>
        <w:ind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b) </w:t>
      </w:r>
      <w:r>
        <w:rPr>
          <w:rFonts w:hint="default" w:ascii="宋体" w:hAnsi="宋体" w:eastAsia="宋体" w:cs="宋体"/>
          <w:sz w:val="20"/>
          <w:szCs w:val="20"/>
          <w:lang w:val="en-US" w:eastAsia="zh-CN"/>
        </w:rPr>
        <w:t>参与安全管理</w:t>
      </w:r>
      <w:r>
        <w:rPr>
          <w:rFonts w:hint="eastAsia" w:ascii="宋体" w:hAnsi="宋体" w:eastAsia="宋体" w:cs="宋体"/>
          <w:sz w:val="20"/>
          <w:szCs w:val="20"/>
          <w:lang w:val="en-US" w:eastAsia="zh-CN"/>
        </w:rPr>
        <w:t>制度</w:t>
      </w:r>
      <w:r>
        <w:rPr>
          <w:rFonts w:hint="default" w:ascii="宋体" w:hAnsi="宋体" w:eastAsia="宋体" w:cs="宋体"/>
          <w:sz w:val="20"/>
          <w:szCs w:val="20"/>
          <w:lang w:val="en-US" w:eastAsia="zh-CN"/>
        </w:rPr>
        <w:t>的制定与评审</w:t>
      </w:r>
      <w:r>
        <w:rPr>
          <w:rFonts w:hint="eastAsia" w:ascii="宋体" w:hAnsi="宋体" w:eastAsia="宋体" w:cs="宋体"/>
          <w:sz w:val="20"/>
          <w:szCs w:val="20"/>
          <w:lang w:val="en-US" w:eastAsia="zh-CN"/>
        </w:rPr>
        <w:t>；</w:t>
      </w:r>
    </w:p>
    <w:p w14:paraId="408DE748">
      <w:pPr>
        <w:pStyle w:val="3"/>
        <w:numPr>
          <w:ilvl w:val="0"/>
          <w:numId w:val="0"/>
        </w:numPr>
        <w:spacing w:before="66" w:line="230" w:lineRule="auto"/>
        <w:ind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c) </w:t>
      </w:r>
      <w:r>
        <w:rPr>
          <w:rFonts w:hint="default" w:ascii="宋体" w:hAnsi="宋体" w:eastAsia="宋体" w:cs="宋体"/>
          <w:sz w:val="20"/>
          <w:szCs w:val="20"/>
          <w:lang w:val="en-US" w:eastAsia="zh-CN"/>
        </w:rPr>
        <w:t>参与商讨、质疑涉及</w:t>
      </w:r>
      <w:r>
        <w:rPr>
          <w:rFonts w:hint="eastAsia" w:ascii="宋体" w:hAnsi="宋体" w:eastAsia="宋体" w:cs="宋体"/>
          <w:sz w:val="20"/>
          <w:szCs w:val="20"/>
          <w:lang w:val="en-US" w:eastAsia="zh-CN"/>
        </w:rPr>
        <w:t>安全</w:t>
      </w:r>
      <w:r>
        <w:rPr>
          <w:rFonts w:hint="default" w:ascii="宋体" w:hAnsi="宋体" w:eastAsia="宋体" w:cs="宋体"/>
          <w:sz w:val="20"/>
          <w:szCs w:val="20"/>
          <w:lang w:val="en-US" w:eastAsia="zh-CN"/>
        </w:rPr>
        <w:t>的所有问题</w:t>
      </w:r>
      <w:r>
        <w:rPr>
          <w:rFonts w:hint="eastAsia" w:ascii="宋体" w:hAnsi="宋体" w:eastAsia="宋体" w:cs="宋体"/>
          <w:sz w:val="20"/>
          <w:szCs w:val="20"/>
          <w:lang w:val="en-US" w:eastAsia="zh-CN"/>
        </w:rPr>
        <w:t>；</w:t>
      </w:r>
    </w:p>
    <w:p w14:paraId="24F63BF8">
      <w:pPr>
        <w:pStyle w:val="3"/>
        <w:numPr>
          <w:ilvl w:val="0"/>
          <w:numId w:val="0"/>
        </w:numPr>
        <w:spacing w:before="66" w:line="230" w:lineRule="auto"/>
        <w:ind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d) </w:t>
      </w:r>
      <w:r>
        <w:rPr>
          <w:rFonts w:hint="default" w:ascii="宋体" w:hAnsi="宋体" w:eastAsia="宋体" w:cs="宋体"/>
          <w:sz w:val="20"/>
          <w:szCs w:val="20"/>
          <w:lang w:val="en-US" w:eastAsia="zh-CN"/>
        </w:rPr>
        <w:t>参与</w:t>
      </w:r>
      <w:r>
        <w:rPr>
          <w:rFonts w:hint="eastAsia" w:ascii="宋体" w:hAnsi="宋体" w:eastAsia="宋体" w:cs="宋体"/>
          <w:sz w:val="20"/>
          <w:szCs w:val="20"/>
          <w:lang w:val="en-US" w:eastAsia="zh-CN"/>
        </w:rPr>
        <w:t>安全</w:t>
      </w:r>
      <w:r>
        <w:rPr>
          <w:rFonts w:hint="default" w:ascii="宋体" w:hAnsi="宋体" w:eastAsia="宋体" w:cs="宋体"/>
          <w:sz w:val="20"/>
          <w:szCs w:val="20"/>
          <w:lang w:val="en-US" w:eastAsia="zh-CN"/>
        </w:rPr>
        <w:t>检查</w:t>
      </w:r>
      <w:r>
        <w:rPr>
          <w:rFonts w:hint="eastAsia" w:ascii="宋体" w:hAnsi="宋体" w:eastAsia="宋体" w:cs="宋体"/>
          <w:sz w:val="20"/>
          <w:szCs w:val="20"/>
          <w:lang w:val="en-US" w:eastAsia="zh-CN"/>
        </w:rPr>
        <w:t>、</w:t>
      </w:r>
      <w:r>
        <w:rPr>
          <w:rFonts w:hint="default" w:ascii="宋体" w:hAnsi="宋体" w:eastAsia="宋体" w:cs="宋体"/>
          <w:sz w:val="20"/>
          <w:szCs w:val="20"/>
          <w:lang w:val="en-US" w:eastAsia="zh-CN"/>
        </w:rPr>
        <w:t>安全</w:t>
      </w:r>
      <w:r>
        <w:rPr>
          <w:rFonts w:hint="eastAsia" w:ascii="宋体" w:hAnsi="宋体" w:eastAsia="宋体" w:cs="宋体"/>
          <w:sz w:val="20"/>
          <w:szCs w:val="20"/>
          <w:lang w:val="en-US" w:eastAsia="zh-CN"/>
        </w:rPr>
        <w:t>事件和</w:t>
      </w:r>
      <w:r>
        <w:rPr>
          <w:rFonts w:hint="default" w:ascii="宋体" w:hAnsi="宋体" w:eastAsia="宋体" w:cs="宋体"/>
          <w:sz w:val="20"/>
          <w:szCs w:val="20"/>
          <w:lang w:val="en-US" w:eastAsia="zh-CN"/>
        </w:rPr>
        <w:t>事故调查</w:t>
      </w:r>
      <w:r>
        <w:rPr>
          <w:rFonts w:hint="eastAsia" w:ascii="宋体" w:hAnsi="宋体" w:eastAsia="宋体" w:cs="宋体"/>
          <w:sz w:val="20"/>
          <w:szCs w:val="20"/>
          <w:lang w:val="en-US" w:eastAsia="zh-CN"/>
        </w:rPr>
        <w:t>；</w:t>
      </w:r>
    </w:p>
    <w:p w14:paraId="32701BEA">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e) </w:t>
      </w:r>
      <w:r>
        <w:rPr>
          <w:rFonts w:hint="default" w:ascii="宋体" w:hAnsi="宋体" w:eastAsia="宋体" w:cs="宋体"/>
          <w:sz w:val="20"/>
          <w:szCs w:val="20"/>
          <w:lang w:val="en-US" w:eastAsia="zh-CN"/>
        </w:rPr>
        <w:t>监督</w:t>
      </w:r>
      <w:r>
        <w:rPr>
          <w:rFonts w:hint="eastAsia" w:ascii="宋体" w:hAnsi="宋体" w:eastAsia="宋体" w:cs="宋体"/>
          <w:sz w:val="20"/>
          <w:szCs w:val="20"/>
          <w:lang w:val="en-US" w:eastAsia="zh-CN"/>
        </w:rPr>
        <w:t>在库机构贯彻执行</w:t>
      </w:r>
      <w:r>
        <w:rPr>
          <w:rFonts w:hint="default" w:ascii="宋体" w:hAnsi="宋体" w:eastAsia="宋体" w:cs="宋体"/>
          <w:sz w:val="20"/>
          <w:szCs w:val="20"/>
          <w:lang w:val="en-US" w:eastAsia="zh-CN"/>
        </w:rPr>
        <w:t>安全相关法律</w:t>
      </w:r>
      <w:r>
        <w:rPr>
          <w:rFonts w:hint="eastAsia" w:ascii="宋体" w:hAnsi="宋体" w:eastAsia="宋体" w:cs="宋体"/>
          <w:sz w:val="20"/>
          <w:szCs w:val="20"/>
          <w:lang w:val="en-US" w:eastAsia="zh-CN"/>
        </w:rPr>
        <w:t>、</w:t>
      </w:r>
      <w:r>
        <w:rPr>
          <w:rFonts w:hint="default" w:ascii="宋体" w:hAnsi="宋体" w:eastAsia="宋体" w:cs="宋体"/>
          <w:sz w:val="20"/>
          <w:szCs w:val="20"/>
          <w:lang w:val="en-US" w:eastAsia="zh-CN"/>
        </w:rPr>
        <w:t>法规的情况</w:t>
      </w:r>
      <w:r>
        <w:rPr>
          <w:rFonts w:hint="eastAsia" w:ascii="宋体" w:hAnsi="宋体" w:eastAsia="宋体" w:cs="宋体"/>
          <w:sz w:val="20"/>
          <w:szCs w:val="20"/>
          <w:lang w:val="en-US" w:eastAsia="zh-CN"/>
        </w:rPr>
        <w:t>。</w:t>
      </w:r>
    </w:p>
    <w:p w14:paraId="21D68685">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4.3.3 驻库检验机构、安委会应分别建立和保持安全教育培训制度，确保：</w:t>
      </w:r>
    </w:p>
    <w:p w14:paraId="10C51953">
      <w:pPr>
        <w:pStyle w:val="3"/>
        <w:numPr>
          <w:ilvl w:val="0"/>
          <w:numId w:val="0"/>
        </w:numPr>
        <w:spacing w:before="66" w:line="230" w:lineRule="auto"/>
        <w:ind w:leftChars="0"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a) 棉花公证检验人员知悉自身在安全检验方面的权利和义务；熟悉现场检验有关的安全管理规章制度和检验检测规程；掌握本岗位的安全操作技能，了解突发事件应急处理措施；</w:t>
      </w:r>
    </w:p>
    <w:p w14:paraId="29817CA3">
      <w:pPr>
        <w:pStyle w:val="3"/>
        <w:numPr>
          <w:ilvl w:val="0"/>
          <w:numId w:val="0"/>
        </w:numPr>
        <w:spacing w:before="66" w:line="230" w:lineRule="auto"/>
        <w:ind w:leftChars="0" w:firstLine="400" w:firstLineChars="200"/>
        <w:outlineLvl w:val="1"/>
        <w:rPr>
          <w:rFonts w:hint="default" w:ascii="宋体" w:hAnsi="宋体" w:eastAsia="宋体" w:cs="宋体"/>
          <w:color w:val="000000" w:themeColor="text1"/>
          <w:sz w:val="20"/>
          <w:szCs w:val="20"/>
          <w:lang w:val="en-US" w:eastAsia="zh-CN"/>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b) 棉花公证检验人员上岗作业前必须经安全教育培训并考核合格；</w:t>
      </w:r>
    </w:p>
    <w:p w14:paraId="57DE6571">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color w:val="000000" w:themeColor="text1"/>
          <w:sz w:val="20"/>
          <w:szCs w:val="20"/>
          <w:lang w:val="en-US" w:eastAsia="zh-CN"/>
          <w14:textFill>
            <w14:solidFill>
              <w14:schemeClr w14:val="tx1"/>
            </w14:solidFill>
          </w14:textFill>
        </w:rPr>
        <w:t>c) 进入现场检验的来访者及陪同人员，必须经安委会和仓库</w:t>
      </w:r>
      <w:r>
        <w:rPr>
          <w:rFonts w:hint="eastAsia" w:ascii="宋体" w:hAnsi="宋体" w:eastAsia="宋体" w:cs="宋体"/>
          <w:sz w:val="20"/>
          <w:szCs w:val="20"/>
          <w:lang w:val="en-US" w:eastAsia="zh-CN"/>
        </w:rPr>
        <w:t>组织的相关安全教育培训，并保存记录。</w:t>
      </w:r>
    </w:p>
    <w:p w14:paraId="1F74E620">
      <w:pPr>
        <w:pStyle w:val="3"/>
        <w:numPr>
          <w:ilvl w:val="0"/>
          <w:numId w:val="0"/>
        </w:numPr>
        <w:spacing w:before="66" w:line="230" w:lineRule="auto"/>
        <w:outlineLvl w:val="1"/>
        <w:rPr>
          <w:spacing w:val="8"/>
          <w:sz w:val="20"/>
          <w:szCs w:val="20"/>
        </w:rPr>
      </w:pPr>
      <w:r>
        <w:rPr>
          <w:rFonts w:hint="eastAsia" w:ascii="宋体" w:hAnsi="宋体" w:eastAsia="宋体" w:cs="宋体"/>
          <w:color w:val="000000" w:themeColor="text1"/>
          <w:sz w:val="20"/>
          <w:szCs w:val="20"/>
          <w:lang w:val="en-US" w:eastAsia="zh-CN"/>
          <w14:textFill>
            <w14:solidFill>
              <w14:schemeClr w14:val="tx1"/>
            </w14:solidFill>
          </w14:textFill>
        </w:rPr>
        <w:t xml:space="preserve"> </w:t>
      </w:r>
      <w:r>
        <w:rPr>
          <w:rFonts w:hint="eastAsia" w:ascii="宋体" w:hAnsi="宋体" w:eastAsia="宋体" w:cs="宋体"/>
          <w:sz w:val="20"/>
          <w:szCs w:val="20"/>
          <w:lang w:val="en-US" w:eastAsia="zh-CN"/>
        </w:rPr>
        <w:t>4.3.4 安委会应当建立棉花公证检验人员安全教育和培训档案，如实记录安全教育和培训的时间、内容、参加人员以及考核结果等。</w:t>
      </w:r>
    </w:p>
    <w:p w14:paraId="3D365A6A">
      <w:pPr>
        <w:pStyle w:val="3"/>
        <w:spacing w:before="0" w:beforeLines="100" w:afterLines="100" w:line="240" w:lineRule="auto"/>
        <w:outlineLvl w:val="0"/>
        <w:rPr>
          <w:b w:val="0"/>
          <w:bCs w:val="0"/>
          <w:color w:val="000000"/>
          <w:spacing w:val="-3"/>
          <w:sz w:val="20"/>
          <w:szCs w:val="20"/>
          <w:highlight w:val="none"/>
        </w:rPr>
      </w:pPr>
      <w:bookmarkStart w:id="20" w:name="_Toc6427"/>
      <w:r>
        <w:rPr>
          <w:rFonts w:hint="default"/>
          <w:b w:val="0"/>
          <w:bCs w:val="0"/>
          <w:color w:val="000000"/>
          <w:spacing w:val="-3"/>
          <w:sz w:val="20"/>
          <w:szCs w:val="20"/>
          <w:highlight w:val="none"/>
          <w:lang w:val="en-US" w:eastAsia="zh-CN"/>
        </w:rPr>
        <w:t xml:space="preserve">5 </w:t>
      </w:r>
      <w:r>
        <w:rPr>
          <w:b w:val="0"/>
          <w:bCs w:val="0"/>
          <w:color w:val="000000"/>
          <w:spacing w:val="-3"/>
          <w:sz w:val="20"/>
          <w:szCs w:val="20"/>
          <w:highlight w:val="none"/>
        </w:rPr>
        <w:t>场所环境</w:t>
      </w:r>
      <w:r>
        <w:rPr>
          <w:rFonts w:hint="default"/>
          <w:b w:val="0"/>
          <w:bCs w:val="0"/>
          <w:color w:val="000000"/>
          <w:spacing w:val="-3"/>
          <w:sz w:val="20"/>
          <w:szCs w:val="20"/>
          <w:highlight w:val="none"/>
          <w:lang w:eastAsia="zh-CN"/>
        </w:rPr>
        <w:t>、</w:t>
      </w:r>
      <w:r>
        <w:rPr>
          <w:b w:val="0"/>
          <w:bCs w:val="0"/>
          <w:color w:val="000000"/>
          <w:spacing w:val="-3"/>
          <w:sz w:val="20"/>
          <w:szCs w:val="20"/>
          <w:highlight w:val="none"/>
        </w:rPr>
        <w:t>设备设施</w:t>
      </w:r>
      <w:bookmarkEnd w:id="20"/>
    </w:p>
    <w:p w14:paraId="7D2AC3DA">
      <w:pPr>
        <w:pStyle w:val="3"/>
        <w:spacing w:before="0" w:beforeLines="50" w:afterLines="50" w:line="240" w:lineRule="auto"/>
        <w:outlineLvl w:val="1"/>
        <w:rPr>
          <w:spacing w:val="4"/>
          <w:sz w:val="20"/>
          <w:szCs w:val="20"/>
        </w:rPr>
      </w:pPr>
      <w:bookmarkStart w:id="21" w:name="_Toc25393"/>
      <w:r>
        <w:rPr>
          <w:rFonts w:hint="default"/>
          <w:spacing w:val="4"/>
          <w:sz w:val="20"/>
          <w:szCs w:val="20"/>
          <w:lang w:val="en-US" w:eastAsia="zh-CN"/>
        </w:rPr>
        <w:t>5.1</w:t>
      </w:r>
      <w:r>
        <w:rPr>
          <w:spacing w:val="4"/>
          <w:sz w:val="20"/>
          <w:szCs w:val="20"/>
        </w:rPr>
        <w:t xml:space="preserve">  场所环境</w:t>
      </w:r>
      <w:bookmarkEnd w:id="21"/>
    </w:p>
    <w:p w14:paraId="4281883D">
      <w:pPr>
        <w:pStyle w:val="3"/>
        <w:spacing w:before="66" w:line="230" w:lineRule="auto"/>
        <w:outlineLvl w:val="1"/>
        <w:rPr>
          <w:rFonts w:hint="default"/>
          <w:spacing w:val="6"/>
          <w:sz w:val="20"/>
          <w:szCs w:val="20"/>
          <w:lang w:val="en-US" w:eastAsia="zh-CN"/>
        </w:rPr>
      </w:pPr>
      <w:r>
        <w:rPr>
          <w:rFonts w:hint="eastAsia"/>
          <w:spacing w:val="6"/>
          <w:sz w:val="20"/>
          <w:szCs w:val="20"/>
          <w:lang w:val="en-US" w:eastAsia="zh-CN"/>
        </w:rPr>
        <w:t>5.1.1 基本要求</w:t>
      </w:r>
    </w:p>
    <w:p w14:paraId="4158B823">
      <w:pPr>
        <w:pStyle w:val="3"/>
        <w:numPr>
          <w:ilvl w:val="0"/>
          <w:numId w:val="0"/>
        </w:numPr>
        <w:spacing w:before="66" w:line="230" w:lineRule="auto"/>
        <w:outlineLvl w:val="1"/>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5.1.1.1 最高管理者应根据组织实施棉花公证检验人员数量与场地范围合理设置临时移动饮水点，生活饮用水应符合卫生标准；</w:t>
      </w:r>
    </w:p>
    <w:p w14:paraId="744E4513">
      <w:pPr>
        <w:pStyle w:val="3"/>
        <w:numPr>
          <w:ilvl w:val="0"/>
          <w:numId w:val="0"/>
        </w:numPr>
        <w:spacing w:before="66" w:line="230" w:lineRule="auto"/>
        <w:outlineLvl w:val="1"/>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5.1.1.2 应根据棉花公证检验人员数量与场地范围设置临时移动厕所，厕所应定期清扫、消毒，厕所类便严禁直接排入雨水管网、河道或水沟内。</w:t>
      </w:r>
    </w:p>
    <w:p w14:paraId="0AB002C1">
      <w:pPr>
        <w:pStyle w:val="3"/>
        <w:spacing w:before="66" w:line="230" w:lineRule="auto"/>
        <w:outlineLvl w:val="1"/>
        <w:rPr>
          <w:rFonts w:hint="default"/>
          <w:b w:val="0"/>
          <w:bCs w:val="0"/>
          <w:spacing w:val="6"/>
          <w:sz w:val="20"/>
          <w:szCs w:val="20"/>
          <w:lang w:val="en-US" w:eastAsia="zh-CN"/>
        </w:rPr>
      </w:pPr>
      <w:r>
        <w:rPr>
          <w:rFonts w:hint="eastAsia"/>
          <w:b w:val="0"/>
          <w:bCs w:val="0"/>
          <w:spacing w:val="6"/>
          <w:sz w:val="20"/>
          <w:szCs w:val="20"/>
          <w:lang w:val="en-US" w:eastAsia="zh-CN"/>
        </w:rPr>
        <w:t>5.1.2 作业</w:t>
      </w:r>
      <w:bookmarkStart w:id="22" w:name="_Toc9649"/>
      <w:bookmarkStart w:id="23" w:name="_Toc20353"/>
      <w:r>
        <w:rPr>
          <w:rFonts w:hint="eastAsia"/>
          <w:b w:val="0"/>
          <w:bCs w:val="0"/>
          <w:spacing w:val="6"/>
          <w:sz w:val="20"/>
          <w:szCs w:val="20"/>
          <w:lang w:val="en-US" w:eastAsia="zh-CN"/>
        </w:rPr>
        <w:t xml:space="preserve">场所 </w:t>
      </w:r>
    </w:p>
    <w:p w14:paraId="31DF68A8">
      <w:pPr>
        <w:pStyle w:val="3"/>
        <w:numPr>
          <w:ilvl w:val="0"/>
          <w:numId w:val="0"/>
        </w:numPr>
        <w:spacing w:before="66" w:line="230" w:lineRule="auto"/>
        <w:ind w:leftChars="0"/>
        <w:outlineLvl w:val="1"/>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5.1.2.1 应实行物品、设备和工具的定置管理，保持作业环境整洁</w:t>
      </w:r>
      <w:bookmarkEnd w:id="22"/>
      <w:bookmarkEnd w:id="23"/>
      <w:r>
        <w:rPr>
          <w:rFonts w:hint="eastAsia" w:ascii="宋体" w:hAnsi="宋体" w:eastAsia="宋体" w:cs="宋体"/>
          <w:b w:val="0"/>
          <w:bCs w:val="0"/>
          <w:sz w:val="20"/>
          <w:szCs w:val="20"/>
          <w:lang w:val="en-US" w:eastAsia="zh-CN"/>
        </w:rPr>
        <w:t>；</w:t>
      </w:r>
    </w:p>
    <w:p w14:paraId="32CA6B92">
      <w:pPr>
        <w:pStyle w:val="3"/>
        <w:numPr>
          <w:ilvl w:val="0"/>
          <w:numId w:val="0"/>
        </w:numPr>
        <w:spacing w:before="66" w:line="230" w:lineRule="auto"/>
        <w:ind w:leftChars="0"/>
        <w:outlineLvl w:val="1"/>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5.1.2.2 待检</w:t>
      </w:r>
      <w:r>
        <w:rPr>
          <w:rFonts w:hint="eastAsia" w:ascii="宋体" w:hAnsi="宋体" w:eastAsia="宋体" w:cs="宋体"/>
          <w:b w:val="0"/>
          <w:bCs w:val="0"/>
          <w:color w:val="auto"/>
          <w:sz w:val="20"/>
          <w:szCs w:val="20"/>
          <w:lang w:val="en-US" w:eastAsia="zh-CN"/>
        </w:rPr>
        <w:t>棉包以3层6包为一单元，棉包应码放整</w:t>
      </w:r>
      <w:r>
        <w:rPr>
          <w:rFonts w:hint="eastAsia" w:ascii="宋体" w:hAnsi="宋体" w:eastAsia="宋体" w:cs="宋体"/>
          <w:b w:val="0"/>
          <w:bCs w:val="0"/>
          <w:sz w:val="20"/>
          <w:szCs w:val="20"/>
          <w:lang w:val="en-US" w:eastAsia="zh-CN"/>
        </w:rPr>
        <w:t>齐、稳固；</w:t>
      </w:r>
    </w:p>
    <w:p w14:paraId="33DFF56B">
      <w:pPr>
        <w:pStyle w:val="3"/>
        <w:numPr>
          <w:ilvl w:val="0"/>
          <w:numId w:val="0"/>
        </w:numPr>
        <w:spacing w:before="66" w:line="230" w:lineRule="auto"/>
        <w:ind w:leftChars="0"/>
        <w:outlineLvl w:val="1"/>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 xml:space="preserve">5.1.2.3 检验区域内无运输、装卸、码垛设备近距离同场作业； </w:t>
      </w:r>
    </w:p>
    <w:p w14:paraId="08594C34">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b w:val="0"/>
          <w:bCs w:val="0"/>
          <w:sz w:val="20"/>
          <w:szCs w:val="20"/>
          <w:lang w:val="en-US" w:eastAsia="zh-CN"/>
        </w:rPr>
        <w:t>5.1.2.4 检验区</w:t>
      </w:r>
      <w:r>
        <w:rPr>
          <w:rFonts w:hint="eastAsia" w:ascii="宋体" w:hAnsi="宋体" w:eastAsia="宋体" w:cs="宋体"/>
          <w:sz w:val="20"/>
          <w:szCs w:val="20"/>
          <w:lang w:val="en-US" w:eastAsia="zh-CN"/>
        </w:rPr>
        <w:t>域足够远离四周皮棉大垛，且地面硬化平整，不存在皮棉大垛倾覆伤人的风险。</w:t>
      </w:r>
    </w:p>
    <w:p w14:paraId="73F30CED">
      <w:pPr>
        <w:pStyle w:val="3"/>
        <w:spacing w:before="66" w:line="230" w:lineRule="auto"/>
        <w:outlineLvl w:val="1"/>
        <w:rPr>
          <w:rFonts w:hint="default"/>
          <w:spacing w:val="6"/>
          <w:sz w:val="20"/>
          <w:szCs w:val="20"/>
          <w:highlight w:val="none"/>
          <w:lang w:val="en-US" w:eastAsia="zh-CN"/>
        </w:rPr>
      </w:pPr>
      <w:r>
        <w:rPr>
          <w:rFonts w:hint="eastAsia"/>
          <w:spacing w:val="6"/>
          <w:sz w:val="20"/>
          <w:szCs w:val="20"/>
          <w:highlight w:val="none"/>
          <w:lang w:val="en-US" w:eastAsia="zh-CN"/>
        </w:rPr>
        <w:t>5.1.3 杂质率检验室</w:t>
      </w:r>
    </w:p>
    <w:p w14:paraId="41B8AE76">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5.1.3.1 应满足安全方面相关法律法规、标准或技术规范的要求；</w:t>
      </w:r>
    </w:p>
    <w:p w14:paraId="39CE8148">
      <w:pPr>
        <w:pStyle w:val="3"/>
        <w:numPr>
          <w:ilvl w:val="0"/>
          <w:numId w:val="0"/>
        </w:numPr>
        <w:spacing w:before="66" w:line="230" w:lineRule="auto"/>
        <w:ind w:left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5.1.3.2 应建立和保持检验检测场所内务管理程序，该程序应包括安全管理的要求；</w:t>
      </w:r>
    </w:p>
    <w:p w14:paraId="23EF5CC7">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5.1.3.3 工作现场应实行物品、设备和工具的定置管理，保持作业环境整洁；</w:t>
      </w:r>
    </w:p>
    <w:p w14:paraId="033DAC82">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5.1.3.4 粉尘的浓度应不超过GBZ 229.1所规定的限值；</w:t>
      </w:r>
    </w:p>
    <w:p w14:paraId="711D055D">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5.1.5.5 噪声应不超过 GBZ 2.2所规定的限值。</w:t>
      </w:r>
    </w:p>
    <w:p w14:paraId="23846AF5">
      <w:pPr>
        <w:pStyle w:val="3"/>
        <w:spacing w:before="66" w:line="230" w:lineRule="auto"/>
        <w:outlineLvl w:val="1"/>
        <w:rPr>
          <w:rFonts w:hint="default"/>
          <w:spacing w:val="6"/>
          <w:sz w:val="20"/>
          <w:szCs w:val="20"/>
          <w:lang w:val="en-US" w:eastAsia="zh-CN"/>
        </w:rPr>
      </w:pPr>
      <w:r>
        <w:rPr>
          <w:rFonts w:hint="eastAsia"/>
          <w:spacing w:val="6"/>
          <w:sz w:val="20"/>
          <w:szCs w:val="20"/>
          <w:lang w:val="en-US" w:eastAsia="zh-CN"/>
        </w:rPr>
        <w:t xml:space="preserve">5.1.4 办公、生活场所 </w:t>
      </w:r>
    </w:p>
    <w:p w14:paraId="1616BAF8">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5.1.3.1 应为棉花公证检验人员设置临时办公室、休息室和食堂; </w:t>
      </w:r>
    </w:p>
    <w:p w14:paraId="292EAACE">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5.1.3.2 应根据人数合理确定办公室和休息室使用面积、布置空间格局，且应设置足够的通风、采光、照明、温度调节设施; </w:t>
      </w:r>
    </w:p>
    <w:p w14:paraId="22ED3869">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5.1.3.3 应采取灭鼠、灭蚊、灭蜂螂及灭其他害虫的措施；</w:t>
      </w:r>
    </w:p>
    <w:p w14:paraId="3ECD8E71">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5.1.3.4 应定期消毒，当遇突发疫情时，应及时上报任务下达部门、承检仓库、相关行政主管部门及省级纤维检验机构，并应按卫生防疫部门相关规定进行处理；</w:t>
      </w:r>
    </w:p>
    <w:p w14:paraId="3879F436">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5.1.3.5 应设置封闭的垃圾箱，垃圾应分类投放，收集的垃圾应及时清运；</w:t>
      </w:r>
    </w:p>
    <w:p w14:paraId="103969A6">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5.1.3.6 应配备充足有效的医疗和急救用品，且应确保在需要时方便取用。</w:t>
      </w:r>
    </w:p>
    <w:p w14:paraId="5903F1C0">
      <w:pPr>
        <w:pStyle w:val="3"/>
        <w:spacing w:before="66" w:line="230" w:lineRule="auto"/>
        <w:outlineLvl w:val="1"/>
        <w:rPr>
          <w:rFonts w:hint="default"/>
          <w:spacing w:val="6"/>
          <w:sz w:val="20"/>
          <w:szCs w:val="20"/>
          <w:lang w:val="en-US" w:eastAsia="zh-CN"/>
        </w:rPr>
      </w:pPr>
      <w:r>
        <w:rPr>
          <w:rFonts w:hint="eastAsia"/>
          <w:spacing w:val="6"/>
          <w:sz w:val="20"/>
          <w:szCs w:val="20"/>
          <w:lang w:val="en-US" w:eastAsia="zh-CN"/>
        </w:rPr>
        <w:t>5.1.5 食堂</w:t>
      </w:r>
    </w:p>
    <w:p w14:paraId="508A00EA">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5.1.4.1 设置独立的制作间、储藏间，配备必要的排风和冷藏设施，应制定食品留样制度并严格执行；</w:t>
      </w:r>
    </w:p>
    <w:p w14:paraId="06D1FC8C">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5.1.4.2 应有餐饮服务许可证和卫生许可证，炊事人员应持有身体健康证；</w:t>
      </w:r>
    </w:p>
    <w:p w14:paraId="0C2C696D">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5.1.4.3 应选择满足安全卫生标准的食品，且食品加工、准备、处理、清洗和储存过程应无污染、无毒害。</w:t>
      </w:r>
    </w:p>
    <w:p w14:paraId="7C61C1F5">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5.1.4.4 食堂外包时，应确保：</w:t>
      </w:r>
    </w:p>
    <w:p w14:paraId="3BAF4914">
      <w:pPr>
        <w:pStyle w:val="3"/>
        <w:numPr>
          <w:ilvl w:val="0"/>
          <w:numId w:val="3"/>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外包食堂满足5.1.4.1-5.1.4.3 的要求；</w:t>
      </w:r>
    </w:p>
    <w:p w14:paraId="01A2636A">
      <w:pPr>
        <w:pStyle w:val="3"/>
        <w:numPr>
          <w:ilvl w:val="0"/>
          <w:numId w:val="3"/>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在外包服务合同中明确规定相关安全要求。</w:t>
      </w:r>
    </w:p>
    <w:p w14:paraId="086D33F3">
      <w:pPr>
        <w:pStyle w:val="3"/>
        <w:spacing w:before="0" w:beforeLines="50" w:afterLines="50" w:line="240" w:lineRule="auto"/>
        <w:outlineLvl w:val="1"/>
        <w:rPr>
          <w:rFonts w:hint="default"/>
          <w:spacing w:val="4"/>
          <w:sz w:val="20"/>
          <w:szCs w:val="20"/>
          <w:lang w:val="en-US" w:eastAsia="zh-CN"/>
        </w:rPr>
      </w:pPr>
      <w:bookmarkStart w:id="24" w:name="_Toc16069"/>
    </w:p>
    <w:p w14:paraId="2F06682D">
      <w:pPr>
        <w:pStyle w:val="3"/>
        <w:spacing w:before="0" w:beforeLines="50" w:afterLines="50" w:line="240" w:lineRule="auto"/>
        <w:outlineLvl w:val="1"/>
        <w:rPr>
          <w:rFonts w:hint="default"/>
          <w:spacing w:val="4"/>
          <w:sz w:val="20"/>
          <w:szCs w:val="20"/>
          <w:lang w:val="en-US" w:eastAsia="zh-CN"/>
        </w:rPr>
      </w:pPr>
      <w:r>
        <w:rPr>
          <w:rFonts w:hint="default"/>
          <w:spacing w:val="4"/>
          <w:sz w:val="20"/>
          <w:szCs w:val="20"/>
          <w:lang w:val="en-US" w:eastAsia="zh-CN"/>
        </w:rPr>
        <w:t>5.2</w:t>
      </w:r>
      <w:r>
        <w:rPr>
          <w:rFonts w:hint="eastAsia"/>
          <w:spacing w:val="4"/>
          <w:sz w:val="20"/>
          <w:szCs w:val="20"/>
          <w:lang w:val="en-US" w:eastAsia="zh-CN"/>
        </w:rPr>
        <w:t xml:space="preserve"> </w:t>
      </w:r>
      <w:r>
        <w:rPr>
          <w:rFonts w:hint="default"/>
          <w:spacing w:val="4"/>
          <w:sz w:val="20"/>
          <w:szCs w:val="20"/>
          <w:lang w:val="en-US" w:eastAsia="zh-CN"/>
        </w:rPr>
        <w:t>设备设施</w:t>
      </w:r>
      <w:bookmarkEnd w:id="24"/>
      <w:bookmarkStart w:id="25" w:name="_Toc22673"/>
    </w:p>
    <w:p w14:paraId="3B81C718">
      <w:pPr>
        <w:pStyle w:val="3"/>
        <w:spacing w:before="66" w:line="230" w:lineRule="auto"/>
        <w:outlineLvl w:val="1"/>
        <w:rPr>
          <w:rFonts w:hint="default"/>
          <w:b w:val="0"/>
          <w:bCs w:val="0"/>
          <w:spacing w:val="6"/>
          <w:sz w:val="20"/>
          <w:szCs w:val="20"/>
          <w:lang w:val="en-US" w:eastAsia="zh-CN"/>
        </w:rPr>
      </w:pPr>
      <w:r>
        <w:rPr>
          <w:rFonts w:hint="eastAsia"/>
          <w:b w:val="0"/>
          <w:bCs w:val="0"/>
          <w:spacing w:val="6"/>
          <w:sz w:val="20"/>
          <w:szCs w:val="20"/>
          <w:lang w:val="en-US" w:eastAsia="zh-CN"/>
        </w:rPr>
        <w:t>5.2.1 设备设施的配备</w:t>
      </w:r>
      <w:bookmarkEnd w:id="25"/>
    </w:p>
    <w:p w14:paraId="317D7521">
      <w:pPr>
        <w:pStyle w:val="3"/>
        <w:numPr>
          <w:ilvl w:val="0"/>
          <w:numId w:val="0"/>
        </w:numPr>
        <w:spacing w:before="66" w:line="230" w:lineRule="auto"/>
        <w:ind w:left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5.2.1.1 应配备符合CNAS-TR1-001等检验检测标准和安全要求的设备和设施，使用租赁的设备和设施时，也应确保符合本文相关要求；</w:t>
      </w:r>
    </w:p>
    <w:p w14:paraId="638A424F">
      <w:pPr>
        <w:pStyle w:val="3"/>
        <w:numPr>
          <w:ilvl w:val="0"/>
          <w:numId w:val="0"/>
        </w:numPr>
        <w:spacing w:before="66" w:line="230" w:lineRule="auto"/>
        <w:ind w:left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5.2.1.2 应建立设备和设施台账，登记使用编号、名称、型号、校准时间、校准结果和使用人等信息；</w:t>
      </w:r>
    </w:p>
    <w:p w14:paraId="79C6E41B">
      <w:pPr>
        <w:spacing w:before="52" w:line="312"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5.2.1.3 应根据现场气候条件、作业环境、作业时间、作业强度等实际情况，为检验员配备统一、美观、功能先进的且符合GB 39800.1、GB/T 13459、GB/T 14440、GB/T 30041、GB/T 38300 、</w:t>
      </w:r>
    </w:p>
    <w:p w14:paraId="6ECD5C11">
      <w:pPr>
        <w:spacing w:before="52" w:line="312" w:lineRule="exact"/>
        <w:rPr>
          <w:rFonts w:hint="default" w:ascii="宋体" w:hAnsi="宋体" w:eastAsia="宋体" w:cs="宋体"/>
          <w:color w:val="auto"/>
          <w:sz w:val="20"/>
          <w:szCs w:val="20"/>
          <w:lang w:val="en-US" w:eastAsia="zh-CN"/>
        </w:rPr>
      </w:pPr>
      <w:r>
        <w:rPr>
          <w:rFonts w:hint="eastAsia" w:ascii="宋体" w:hAnsi="宋体" w:eastAsia="宋体" w:cs="宋体"/>
          <w:sz w:val="20"/>
          <w:szCs w:val="20"/>
          <w:lang w:val="en-US" w:eastAsia="zh-CN"/>
        </w:rPr>
        <w:t>AQ 6111</w:t>
      </w:r>
      <w:r>
        <w:rPr>
          <w:rFonts w:hint="eastAsia" w:ascii="宋体" w:hAnsi="宋体" w:eastAsia="宋体" w:cs="宋体"/>
          <w:color w:val="auto"/>
          <w:sz w:val="20"/>
          <w:szCs w:val="20"/>
          <w:lang w:val="en-US" w:eastAsia="zh-CN"/>
        </w:rPr>
        <w:t>等要求的个体防护装备，充分展示棉花公证检验人员阳光、自信、整齐、大方的职业形象。具体参照附录A。</w:t>
      </w:r>
    </w:p>
    <w:p w14:paraId="548297AE">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5.2.1.4 应按6.1要求对设备设施的危险源进行辨识，确保风险控制措施的充分和有效。</w:t>
      </w:r>
      <w:bookmarkStart w:id="26" w:name="_Toc2010"/>
    </w:p>
    <w:p w14:paraId="675AE69D">
      <w:pPr>
        <w:pStyle w:val="3"/>
        <w:numPr>
          <w:ilvl w:val="0"/>
          <w:numId w:val="0"/>
        </w:numPr>
        <w:spacing w:before="66" w:line="230" w:lineRule="auto"/>
        <w:ind w:leftChars="0"/>
        <w:outlineLvl w:val="1"/>
        <w:rPr>
          <w:sz w:val="20"/>
          <w:szCs w:val="20"/>
        </w:rPr>
      </w:pPr>
      <w:r>
        <w:rPr>
          <w:rFonts w:hint="eastAsia"/>
          <w:spacing w:val="7"/>
          <w:sz w:val="20"/>
          <w:szCs w:val="20"/>
          <w:lang w:val="en-US" w:eastAsia="zh-CN"/>
        </w:rPr>
        <w:t>5.2.2</w:t>
      </w:r>
      <w:r>
        <w:rPr>
          <w:spacing w:val="7"/>
          <w:sz w:val="20"/>
          <w:szCs w:val="20"/>
        </w:rPr>
        <w:t xml:space="preserve">  设备设施的安装、调试和使用</w:t>
      </w:r>
      <w:bookmarkEnd w:id="26"/>
    </w:p>
    <w:p w14:paraId="3A4441B7">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5.2.2.1 应根据制造商的要求对设备设施进行安装、调试，或由制造商的技术人员进行安装、调试。</w:t>
      </w:r>
    </w:p>
    <w:p w14:paraId="20347191">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5.2.2.2 应按照制造商提供的操作说明，结合棉花公证检验工作特点以及设备设施安全风险与职业病防护要求，编制设备设施安全操作规程，发放到相关岗位人员，并严格执行。</w:t>
      </w:r>
    </w:p>
    <w:p w14:paraId="32612B90">
      <w:pPr>
        <w:pStyle w:val="3"/>
        <w:numPr>
          <w:ilvl w:val="0"/>
          <w:numId w:val="0"/>
        </w:numPr>
        <w:spacing w:before="66" w:line="230" w:lineRule="auto"/>
        <w:ind w:left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5.2.2.3 应对设备设施进行规范化管理，建立设备设施使用台账。</w:t>
      </w:r>
      <w:bookmarkStart w:id="27" w:name="_Toc10661"/>
    </w:p>
    <w:p w14:paraId="6B5739A3">
      <w:pPr>
        <w:pStyle w:val="3"/>
        <w:numPr>
          <w:ilvl w:val="0"/>
          <w:numId w:val="0"/>
        </w:numPr>
        <w:spacing w:before="66" w:line="230" w:lineRule="auto"/>
        <w:ind w:leftChars="0"/>
        <w:outlineLvl w:val="1"/>
        <w:rPr>
          <w:rFonts w:hint="eastAsia" w:eastAsia="黑体"/>
          <w:sz w:val="20"/>
          <w:szCs w:val="20"/>
          <w:lang w:val="en-US" w:eastAsia="zh-CN"/>
        </w:rPr>
      </w:pPr>
      <w:r>
        <w:rPr>
          <w:rFonts w:hint="eastAsia"/>
          <w:spacing w:val="7"/>
          <w:sz w:val="20"/>
          <w:szCs w:val="20"/>
          <w:lang w:val="en-US" w:eastAsia="zh-CN"/>
        </w:rPr>
        <w:t>5.2.3</w:t>
      </w:r>
      <w:r>
        <w:rPr>
          <w:spacing w:val="7"/>
          <w:sz w:val="20"/>
          <w:szCs w:val="20"/>
        </w:rPr>
        <w:t xml:space="preserve"> 设备设施的维修</w:t>
      </w:r>
      <w:bookmarkEnd w:id="27"/>
      <w:r>
        <w:rPr>
          <w:rFonts w:hint="eastAsia"/>
          <w:spacing w:val="7"/>
          <w:sz w:val="20"/>
          <w:szCs w:val="20"/>
          <w:lang w:val="en-US" w:eastAsia="zh-CN"/>
        </w:rPr>
        <w:t>保养</w:t>
      </w:r>
    </w:p>
    <w:p w14:paraId="33D028A1">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应建立、保持设备和设施维修保养制度，以确保设备和设施完好并满足检验检测安全要求：</w:t>
      </w:r>
    </w:p>
    <w:p w14:paraId="5CCC6D09">
      <w:pPr>
        <w:pStyle w:val="3"/>
        <w:numPr>
          <w:ilvl w:val="0"/>
          <w:numId w:val="4"/>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明确每台设备的维修保养人员，制定综合检维修计划，加强日常检维修和定期保养管理；</w:t>
      </w:r>
    </w:p>
    <w:p w14:paraId="621A930C">
      <w:pPr>
        <w:pStyle w:val="3"/>
        <w:numPr>
          <w:ilvl w:val="0"/>
          <w:numId w:val="4"/>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所有的维修保养工作应根据设备制造商的说明书和操作规程执行；</w:t>
      </w:r>
    </w:p>
    <w:p w14:paraId="28B1FF3D">
      <w:pPr>
        <w:pStyle w:val="3"/>
        <w:numPr>
          <w:ilvl w:val="0"/>
          <w:numId w:val="4"/>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开始工作前,应告知维修保养人员相关危险源， 以及维修保养工作可能对现场人员造成的危险；</w:t>
      </w:r>
    </w:p>
    <w:p w14:paraId="537B188D">
      <w:pPr>
        <w:pStyle w:val="3"/>
        <w:numPr>
          <w:ilvl w:val="0"/>
          <w:numId w:val="4"/>
        </w:numPr>
        <w:autoSpaceDE/>
        <w:autoSpaceDN/>
        <w:spacing w:before="0" w:line="240" w:lineRule="auto"/>
        <w:ind w:left="420" w:leftChars="200" w:firstLine="0" w:firstLineChars="0"/>
        <w:outlineLvl w:val="1"/>
        <w:rPr>
          <w:rFonts w:hint="eastAsia" w:ascii="宋体" w:hAnsi="宋体" w:eastAsia="宋体" w:cs="宋体"/>
          <w:sz w:val="20"/>
          <w:szCs w:val="20"/>
          <w:lang w:eastAsia="zh-CN"/>
        </w:rPr>
      </w:pPr>
      <w:r>
        <w:rPr>
          <w:rFonts w:hint="eastAsia" w:ascii="宋体" w:hAnsi="宋体" w:eastAsia="宋体" w:cs="宋体"/>
          <w:sz w:val="20"/>
          <w:szCs w:val="20"/>
          <w:lang w:val="en-US" w:eastAsia="zh-CN"/>
        </w:rPr>
        <w:t>维修保养完成后，应对设备进行核查以确保其正常使用。</w:t>
      </w:r>
      <w:bookmarkStart w:id="28" w:name="_Toc1088"/>
    </w:p>
    <w:p w14:paraId="42909ECC">
      <w:pPr>
        <w:pStyle w:val="3"/>
        <w:numPr>
          <w:ilvl w:val="0"/>
          <w:numId w:val="0"/>
        </w:numPr>
        <w:spacing w:before="66" w:line="230" w:lineRule="auto"/>
        <w:outlineLvl w:val="1"/>
        <w:rPr>
          <w:sz w:val="20"/>
          <w:szCs w:val="20"/>
        </w:rPr>
      </w:pPr>
      <w:r>
        <w:rPr>
          <w:rFonts w:hint="eastAsia"/>
          <w:spacing w:val="7"/>
          <w:sz w:val="20"/>
          <w:szCs w:val="20"/>
          <w:lang w:val="en-US" w:eastAsia="zh-CN"/>
        </w:rPr>
        <w:t>5.2.4</w:t>
      </w:r>
      <w:r>
        <w:rPr>
          <w:spacing w:val="7"/>
          <w:sz w:val="20"/>
          <w:szCs w:val="20"/>
        </w:rPr>
        <w:t xml:space="preserve"> 租用设备设施的管理</w:t>
      </w:r>
      <w:bookmarkEnd w:id="28"/>
    </w:p>
    <w:p w14:paraId="76A588D3">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租用设备设施开展检验检测时，应确保：</w:t>
      </w:r>
    </w:p>
    <w:p w14:paraId="1E46600D">
      <w:pPr>
        <w:pStyle w:val="3"/>
        <w:numPr>
          <w:ilvl w:val="0"/>
          <w:numId w:val="3"/>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租用设备设施管理按5.2.2、5.2.3管理； </w:t>
      </w:r>
    </w:p>
    <w:p w14:paraId="3263A83A">
      <w:pPr>
        <w:pStyle w:val="3"/>
        <w:numPr>
          <w:ilvl w:val="0"/>
          <w:numId w:val="3"/>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在租赁合同中明确规定相关安全要求。</w:t>
      </w:r>
    </w:p>
    <w:p w14:paraId="498BE19B">
      <w:pPr>
        <w:pStyle w:val="3"/>
        <w:spacing w:before="0" w:beforeLines="50" w:afterLines="50" w:line="240" w:lineRule="auto"/>
        <w:outlineLvl w:val="1"/>
        <w:rPr>
          <w:rFonts w:hint="default" w:eastAsia="黑体"/>
          <w:spacing w:val="4"/>
          <w:sz w:val="20"/>
          <w:szCs w:val="20"/>
          <w:lang w:val="en-US" w:eastAsia="zh-CN"/>
        </w:rPr>
      </w:pPr>
      <w:bookmarkStart w:id="29" w:name="_Toc1966"/>
      <w:r>
        <w:rPr>
          <w:rFonts w:hint="default"/>
          <w:spacing w:val="4"/>
          <w:sz w:val="20"/>
          <w:szCs w:val="20"/>
          <w:lang w:val="en-US" w:eastAsia="zh-CN"/>
        </w:rPr>
        <w:t>5.3</w:t>
      </w:r>
      <w:r>
        <w:rPr>
          <w:spacing w:val="4"/>
          <w:sz w:val="20"/>
          <w:szCs w:val="20"/>
        </w:rPr>
        <w:t xml:space="preserve"> </w:t>
      </w:r>
      <w:bookmarkEnd w:id="29"/>
      <w:r>
        <w:rPr>
          <w:rFonts w:hint="default"/>
          <w:spacing w:val="4"/>
          <w:sz w:val="20"/>
          <w:szCs w:val="20"/>
          <w:lang w:val="en-US" w:eastAsia="zh-CN"/>
        </w:rPr>
        <w:t>资金保障</w:t>
      </w:r>
    </w:p>
    <w:p w14:paraId="6D9231AA">
      <w:pPr>
        <w:pStyle w:val="3"/>
        <w:numPr>
          <w:ilvl w:val="0"/>
          <w:numId w:val="0"/>
        </w:numPr>
        <w:spacing w:before="66" w:line="230" w:lineRule="auto"/>
        <w:outlineLvl w:val="1"/>
        <w:rPr>
          <w:rFonts w:hint="eastAsia" w:ascii="宋体" w:hAnsi="宋体" w:eastAsia="宋体" w:cs="宋体"/>
          <w:color w:val="FF0000"/>
          <w:sz w:val="20"/>
          <w:szCs w:val="20"/>
          <w:lang w:val="en-US" w:eastAsia="zh-CN"/>
        </w:rPr>
      </w:pPr>
      <w:r>
        <w:rPr>
          <w:rFonts w:hint="eastAsia" w:ascii="宋体" w:hAnsi="宋体" w:eastAsia="宋体" w:cs="宋体"/>
          <w:sz w:val="20"/>
          <w:szCs w:val="20"/>
          <w:lang w:val="en-US" w:eastAsia="zh-CN"/>
        </w:rPr>
        <w:t>5.3.1 省级纤维检验机构应督促最高管理者建立现场安全检验保障制度，指导驻库机构将现场安全检验费用列入年度预算，规范支取和使用安全检验费用，并建立使用台账。</w:t>
      </w:r>
      <w:r>
        <w:rPr>
          <w:rFonts w:hint="eastAsia" w:ascii="宋体" w:hAnsi="宋体" w:eastAsia="宋体" w:cs="宋体"/>
          <w:color w:val="FF0000"/>
          <w:sz w:val="20"/>
          <w:szCs w:val="20"/>
          <w:lang w:val="en-US" w:eastAsia="zh-CN"/>
        </w:rPr>
        <w:t xml:space="preserve"> </w:t>
      </w:r>
    </w:p>
    <w:p w14:paraId="6CF62F48">
      <w:pPr>
        <w:pStyle w:val="3"/>
        <w:numPr>
          <w:ilvl w:val="0"/>
          <w:numId w:val="0"/>
        </w:numPr>
        <w:spacing w:before="66" w:line="230" w:lineRule="auto"/>
        <w:outlineLvl w:val="1"/>
        <w:rPr>
          <w:rFonts w:hint="default" w:ascii="宋体" w:hAnsi="宋体" w:eastAsia="宋体" w:cs="宋体"/>
          <w:color w:val="FF0000"/>
          <w:sz w:val="20"/>
          <w:szCs w:val="20"/>
          <w:lang w:val="en-US" w:eastAsia="zh-CN"/>
        </w:rPr>
      </w:pPr>
      <w:r>
        <w:rPr>
          <w:rFonts w:hint="eastAsia" w:ascii="宋体" w:hAnsi="宋体" w:eastAsia="宋体" w:cs="宋体"/>
          <w:sz w:val="20"/>
          <w:szCs w:val="20"/>
          <w:lang w:val="en-US" w:eastAsia="zh-CN"/>
        </w:rPr>
        <w:t>5.3.2 在正式启动年度现场检验前，主检机构应根据6.1的要求，提出整个驻库机构全年度的安全检验费用预算方案，提交最高管理者审议，并在通过后组织资金的分摊、落实与使用。</w:t>
      </w:r>
    </w:p>
    <w:p w14:paraId="08484F49">
      <w:pPr>
        <w:pStyle w:val="3"/>
        <w:numPr>
          <w:ilvl w:val="-1"/>
          <w:numId w:val="0"/>
        </w:numPr>
        <w:spacing w:before="0" w:beforeLines="100" w:afterLines="100" w:line="240" w:lineRule="auto"/>
        <w:ind w:leftChars="0"/>
        <w:outlineLvl w:val="0"/>
        <w:rPr>
          <w:rFonts w:hint="default"/>
          <w:spacing w:val="-3"/>
          <w:sz w:val="20"/>
          <w:szCs w:val="20"/>
          <w:lang w:val="en-US" w:eastAsia="zh-CN"/>
        </w:rPr>
      </w:pPr>
      <w:r>
        <w:rPr>
          <w:rFonts w:hint="default"/>
          <w:spacing w:val="-3"/>
          <w:sz w:val="20"/>
          <w:szCs w:val="20"/>
          <w:lang w:val="en-US" w:eastAsia="zh-CN"/>
        </w:rPr>
        <w:t>6 管理要素</w:t>
      </w:r>
    </w:p>
    <w:p w14:paraId="147CE70D">
      <w:pPr>
        <w:pStyle w:val="3"/>
        <w:numPr>
          <w:ilvl w:val="-1"/>
          <w:numId w:val="0"/>
        </w:numPr>
        <w:spacing w:before="0" w:beforeLines="50" w:afterLines="50" w:line="240" w:lineRule="auto"/>
        <w:ind w:leftChars="0"/>
        <w:outlineLvl w:val="1"/>
        <w:rPr>
          <w:rFonts w:hint="default"/>
          <w:spacing w:val="4"/>
          <w:sz w:val="20"/>
          <w:szCs w:val="20"/>
          <w:lang w:val="en-US" w:eastAsia="zh-CN"/>
        </w:rPr>
      </w:pPr>
      <w:bookmarkStart w:id="30" w:name="_Toc2581"/>
      <w:r>
        <w:rPr>
          <w:rFonts w:hint="default"/>
          <w:spacing w:val="4"/>
          <w:sz w:val="20"/>
          <w:szCs w:val="20"/>
          <w:lang w:val="en-US" w:eastAsia="zh-CN"/>
        </w:rPr>
        <w:t>6.1 危险源辨识和安全风险评价</w:t>
      </w:r>
      <w:bookmarkEnd w:id="30"/>
    </w:p>
    <w:p w14:paraId="42E8D24A">
      <w:pPr>
        <w:pStyle w:val="3"/>
        <w:numPr>
          <w:ilvl w:val="0"/>
          <w:numId w:val="0"/>
        </w:numPr>
        <w:spacing w:before="66" w:line="230" w:lineRule="auto"/>
        <w:ind w:leftChars="0"/>
        <w:outlineLvl w:val="1"/>
        <w:rPr>
          <w:rFonts w:hint="eastAsia"/>
          <w:spacing w:val="7"/>
          <w:sz w:val="20"/>
          <w:szCs w:val="20"/>
          <w:lang w:val="en-US" w:eastAsia="zh-CN"/>
        </w:rPr>
      </w:pPr>
      <w:bookmarkStart w:id="31" w:name="_Toc18806"/>
      <w:r>
        <w:rPr>
          <w:rFonts w:hint="eastAsia"/>
          <w:spacing w:val="7"/>
          <w:sz w:val="20"/>
          <w:szCs w:val="20"/>
          <w:lang w:val="en-US" w:eastAsia="zh-CN"/>
        </w:rPr>
        <w:t>6.1.1 危险源辨识</w:t>
      </w:r>
      <w:bookmarkEnd w:id="31"/>
      <w:r>
        <w:rPr>
          <w:rFonts w:hint="eastAsia"/>
          <w:spacing w:val="7"/>
          <w:sz w:val="20"/>
          <w:szCs w:val="20"/>
          <w:lang w:val="en-US" w:eastAsia="zh-CN"/>
        </w:rPr>
        <w:t xml:space="preserve"> </w:t>
      </w:r>
    </w:p>
    <w:p w14:paraId="572A11F2">
      <w:pPr>
        <w:pStyle w:val="3"/>
        <w:numPr>
          <w:ilvl w:val="0"/>
          <w:numId w:val="0"/>
        </w:numPr>
        <w:spacing w:before="66" w:line="230" w:lineRule="auto"/>
        <w:ind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在正式启动年度现场检验前，安委会应按照 GB/T 45001 要求组织进行危险源辨识，确定现场检验危险源清单。</w:t>
      </w:r>
    </w:p>
    <w:p w14:paraId="5FDBFFF5">
      <w:pPr>
        <w:pStyle w:val="3"/>
        <w:numPr>
          <w:ilvl w:val="0"/>
          <w:numId w:val="0"/>
        </w:numPr>
        <w:spacing w:before="66" w:line="230" w:lineRule="auto"/>
        <w:ind w:leftChars="0"/>
        <w:outlineLvl w:val="1"/>
        <w:rPr>
          <w:rFonts w:hint="default"/>
          <w:spacing w:val="7"/>
          <w:sz w:val="20"/>
          <w:szCs w:val="20"/>
          <w:lang w:val="en-US" w:eastAsia="zh-CN"/>
        </w:rPr>
      </w:pPr>
      <w:bookmarkStart w:id="32" w:name="_Toc12673"/>
      <w:r>
        <w:rPr>
          <w:rFonts w:hint="eastAsia"/>
          <w:spacing w:val="7"/>
          <w:sz w:val="20"/>
          <w:szCs w:val="20"/>
          <w:lang w:val="en-US" w:eastAsia="zh-CN"/>
        </w:rPr>
        <w:t>6.1.2 安全风险评价</w:t>
      </w:r>
      <w:bookmarkEnd w:id="32"/>
    </w:p>
    <w:p w14:paraId="2FC4D434">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安委会宜选择安全检查表（SCL）、预先危险性分析（PHA）等安全风险评价方法 ，以：</w:t>
      </w:r>
    </w:p>
    <w:p w14:paraId="26B922F8">
      <w:pPr>
        <w:pStyle w:val="3"/>
        <w:numPr>
          <w:ilvl w:val="0"/>
          <w:numId w:val="5"/>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评价6.1.1辨识的危险源的安全风险，同时必须考虑现有控制的有效性，确定现场检验重大危险源清单；</w:t>
      </w:r>
    </w:p>
    <w:p w14:paraId="7F153AD1">
      <w:pPr>
        <w:pStyle w:val="3"/>
        <w:numPr>
          <w:ilvl w:val="0"/>
          <w:numId w:val="5"/>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确定和评价与建立、实施、运行和保持安全管理控制措施相关的其他风险 。</w:t>
      </w:r>
    </w:p>
    <w:p w14:paraId="38FB93F2">
      <w:pPr>
        <w:pStyle w:val="3"/>
        <w:numPr>
          <w:ilvl w:val="0"/>
          <w:numId w:val="0"/>
        </w:numPr>
        <w:spacing w:before="66" w:line="230" w:lineRule="auto"/>
        <w:ind w:leftChars="0"/>
        <w:outlineLvl w:val="1"/>
        <w:rPr>
          <w:rFonts w:hint="default"/>
          <w:spacing w:val="7"/>
          <w:sz w:val="20"/>
          <w:szCs w:val="20"/>
          <w:lang w:val="en-US" w:eastAsia="zh-CN"/>
        </w:rPr>
      </w:pPr>
      <w:bookmarkStart w:id="33" w:name="_Toc22788"/>
      <w:r>
        <w:rPr>
          <w:rFonts w:hint="eastAsia"/>
          <w:spacing w:val="7"/>
          <w:sz w:val="20"/>
          <w:szCs w:val="20"/>
          <w:lang w:val="en-US" w:eastAsia="zh-CN"/>
        </w:rPr>
        <w:t>6.1.3 安全风险管控</w:t>
      </w:r>
      <w:bookmarkEnd w:id="33"/>
    </w:p>
    <w:p w14:paraId="5F940838">
      <w:pPr>
        <w:pStyle w:val="3"/>
        <w:numPr>
          <w:ilvl w:val="0"/>
          <w:numId w:val="0"/>
        </w:numPr>
        <w:spacing w:before="66" w:line="230" w:lineRule="auto"/>
        <w:ind w:firstLine="400" w:firstLineChars="200"/>
        <w:outlineLvl w:val="1"/>
        <w:rPr>
          <w:rFonts w:hint="eastAsia" w:ascii="宋体" w:hAnsi="宋体" w:eastAsia="宋体" w:cs="宋体"/>
          <w:color w:val="auto"/>
          <w:sz w:val="20"/>
          <w:szCs w:val="20"/>
          <w:lang w:val="en-US" w:eastAsia="zh-CN"/>
        </w:rPr>
      </w:pPr>
      <w:r>
        <w:rPr>
          <w:rFonts w:hint="eastAsia" w:ascii="宋体" w:hAnsi="宋体" w:eastAsia="宋体" w:cs="宋体"/>
          <w:sz w:val="20"/>
          <w:szCs w:val="20"/>
          <w:lang w:val="en-US" w:eastAsia="zh-CN"/>
        </w:rPr>
        <w:t>管理者代表应通过采用下列控制层级，建立、实施和保持用于消除重大危险源和降低职业健康安全风险的过程。现场检验主要危险源及管控措施</w:t>
      </w:r>
      <w:r>
        <w:rPr>
          <w:rFonts w:hint="eastAsia" w:ascii="宋体" w:hAnsi="宋体" w:eastAsia="宋体" w:cs="宋体"/>
          <w:color w:val="auto"/>
          <w:spacing w:val="8"/>
          <w:sz w:val="20"/>
          <w:szCs w:val="20"/>
          <w:lang w:val="en-US" w:eastAsia="zh-CN"/>
        </w:rPr>
        <w:t>具体参照附录B。</w:t>
      </w:r>
    </w:p>
    <w:p w14:paraId="282B716A">
      <w:pPr>
        <w:pStyle w:val="3"/>
        <w:numPr>
          <w:ilvl w:val="0"/>
          <w:numId w:val="6"/>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通过加强物品的检查、设备和设施的改进等有效措施消除危险源；</w:t>
      </w:r>
    </w:p>
    <w:p w14:paraId="3A34B361">
      <w:pPr>
        <w:pStyle w:val="3"/>
        <w:numPr>
          <w:ilvl w:val="0"/>
          <w:numId w:val="6"/>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采用加强人员的教育、培训与督查检查等管理控制，降低风险；</w:t>
      </w:r>
    </w:p>
    <w:p w14:paraId="5ED197E4">
      <w:pPr>
        <w:pStyle w:val="3"/>
        <w:numPr>
          <w:ilvl w:val="0"/>
          <w:numId w:val="6"/>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采用适当的个体防护装备，降低风险。</w:t>
      </w:r>
    </w:p>
    <w:p w14:paraId="5B57AB91">
      <w:pPr>
        <w:pStyle w:val="3"/>
        <w:spacing w:before="0" w:beforeLines="50" w:afterLines="50" w:line="240" w:lineRule="auto"/>
        <w:outlineLvl w:val="1"/>
        <w:rPr>
          <w:spacing w:val="4"/>
          <w:sz w:val="20"/>
          <w:szCs w:val="20"/>
        </w:rPr>
      </w:pPr>
      <w:bookmarkStart w:id="34" w:name="_Toc3329"/>
      <w:r>
        <w:rPr>
          <w:rFonts w:hint="default"/>
          <w:spacing w:val="4"/>
          <w:sz w:val="20"/>
          <w:szCs w:val="20"/>
          <w:lang w:val="en-US" w:eastAsia="zh-CN"/>
        </w:rPr>
        <w:t>6</w:t>
      </w:r>
      <w:r>
        <w:rPr>
          <w:spacing w:val="4"/>
          <w:sz w:val="20"/>
          <w:szCs w:val="20"/>
        </w:rPr>
        <w:t>.</w:t>
      </w:r>
      <w:r>
        <w:rPr>
          <w:rFonts w:hint="default"/>
          <w:spacing w:val="4"/>
          <w:sz w:val="20"/>
          <w:szCs w:val="20"/>
          <w:lang w:val="en-US" w:eastAsia="zh-CN"/>
        </w:rPr>
        <w:t>2</w:t>
      </w:r>
      <w:r>
        <w:rPr>
          <w:spacing w:val="4"/>
          <w:sz w:val="20"/>
          <w:szCs w:val="20"/>
        </w:rPr>
        <w:t xml:space="preserve"> 法律法规要求和其他要求</w:t>
      </w:r>
      <w:bookmarkEnd w:id="34"/>
    </w:p>
    <w:p w14:paraId="7398A2ED">
      <w:pPr>
        <w:pStyle w:val="3"/>
        <w:numPr>
          <w:ilvl w:val="0"/>
          <w:numId w:val="0"/>
        </w:numPr>
        <w:spacing w:before="66" w:line="230" w:lineRule="auto"/>
        <w:ind w:leftChars="0"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安委会应及时收集适用的安全相关的法律法规、标准规范，并将适用的安全法律法规、标准规范的相关要求融入棉花公证检验的安全管理制度，并及时传达给棉花公证检验人员，确保相关要求落实到位。</w:t>
      </w:r>
    </w:p>
    <w:p w14:paraId="7F795919">
      <w:pPr>
        <w:pStyle w:val="3"/>
        <w:spacing w:before="0" w:beforeLines="50" w:afterLines="50" w:line="240" w:lineRule="auto"/>
        <w:outlineLvl w:val="1"/>
        <w:rPr>
          <w:spacing w:val="4"/>
          <w:sz w:val="20"/>
          <w:szCs w:val="20"/>
        </w:rPr>
      </w:pPr>
      <w:bookmarkStart w:id="35" w:name="_Toc21802"/>
      <w:r>
        <w:rPr>
          <w:rFonts w:hint="default"/>
          <w:spacing w:val="4"/>
          <w:sz w:val="20"/>
          <w:szCs w:val="20"/>
          <w:lang w:val="en-US" w:eastAsia="zh-CN"/>
        </w:rPr>
        <w:t>6.3 运行</w:t>
      </w:r>
      <w:r>
        <w:rPr>
          <w:spacing w:val="4"/>
          <w:sz w:val="20"/>
          <w:szCs w:val="20"/>
        </w:rPr>
        <w:t>的策划</w:t>
      </w:r>
      <w:bookmarkEnd w:id="35"/>
    </w:p>
    <w:p w14:paraId="697C251C">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6.3.1 应识别检验检测安全控制过程以及 6.1.1 辨识的风险防控所需的过程，制定过程的运行准则。</w:t>
      </w:r>
    </w:p>
    <w:p w14:paraId="5E4DF61C">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6.3.2 应策划满足法律法规和其他要求、对紧急情况做出准备和响应的措施，所策划的措施要与其他检验过程相融合。</w:t>
      </w:r>
    </w:p>
    <w:p w14:paraId="7A6F9BCE">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6.3.3 应按照有关规定，结合棉花公证检验项目特点以及岗位操作安全防护要求，编制岗位安全操作规程，发放到相关岗位员工，并严格执行。 </w:t>
      </w:r>
    </w:p>
    <w:p w14:paraId="32F04A75">
      <w:pPr>
        <w:pStyle w:val="3"/>
        <w:numPr>
          <w:ilvl w:val="-1"/>
          <w:numId w:val="0"/>
        </w:numPr>
        <w:spacing w:before="0" w:beforeLines="50" w:afterLines="50" w:line="240" w:lineRule="auto"/>
        <w:ind w:leftChars="0"/>
        <w:outlineLvl w:val="1"/>
        <w:rPr>
          <w:rFonts w:hint="default"/>
          <w:spacing w:val="4"/>
          <w:sz w:val="20"/>
          <w:szCs w:val="20"/>
          <w:lang w:val="en-US" w:eastAsia="zh-CN"/>
        </w:rPr>
      </w:pPr>
      <w:bookmarkStart w:id="36" w:name="_Toc25918"/>
      <w:r>
        <w:rPr>
          <w:rFonts w:hint="default"/>
          <w:spacing w:val="4"/>
          <w:sz w:val="20"/>
          <w:szCs w:val="20"/>
          <w:lang w:val="en-US" w:eastAsia="zh-CN"/>
        </w:rPr>
        <w:t>6.4 运行的控制</w:t>
      </w:r>
      <w:bookmarkEnd w:id="36"/>
    </w:p>
    <w:p w14:paraId="4CDB62F9">
      <w:pPr>
        <w:pStyle w:val="3"/>
        <w:numPr>
          <w:ilvl w:val="0"/>
          <w:numId w:val="0"/>
        </w:numPr>
        <w:spacing w:before="66" w:line="230" w:lineRule="auto"/>
        <w:ind w:leftChars="0"/>
        <w:outlineLvl w:val="1"/>
        <w:rPr>
          <w:rFonts w:hint="eastAsia"/>
          <w:spacing w:val="7"/>
          <w:sz w:val="20"/>
          <w:szCs w:val="20"/>
          <w:lang w:val="en-US" w:eastAsia="zh-CN"/>
        </w:rPr>
      </w:pPr>
      <w:bookmarkStart w:id="37" w:name="_Toc31879"/>
      <w:r>
        <w:rPr>
          <w:rFonts w:hint="eastAsia"/>
          <w:spacing w:val="7"/>
          <w:sz w:val="20"/>
          <w:szCs w:val="20"/>
          <w:lang w:val="en-US" w:eastAsia="zh-CN"/>
        </w:rPr>
        <w:t>6.4.1 工作条件</w:t>
      </w:r>
      <w:bookmarkEnd w:id="37"/>
    </w:p>
    <w:p w14:paraId="510C0754">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主检机构管理者代表在开检前应对6.1、6.2及6.3的要求的落实情况以及物料、设备、设施、通道、作业环境等存在的安全风险管制情况一一排查，确保各安全风险管理要求落实到位。 </w:t>
      </w:r>
    </w:p>
    <w:p w14:paraId="31B0B81B">
      <w:pPr>
        <w:pStyle w:val="3"/>
        <w:numPr>
          <w:ilvl w:val="0"/>
          <w:numId w:val="0"/>
        </w:numPr>
        <w:spacing w:before="66" w:line="230" w:lineRule="auto"/>
        <w:ind w:leftChars="0"/>
        <w:outlineLvl w:val="1"/>
        <w:rPr>
          <w:rFonts w:hint="eastAsia"/>
          <w:spacing w:val="7"/>
          <w:sz w:val="20"/>
          <w:szCs w:val="20"/>
          <w:lang w:val="en-US" w:eastAsia="zh-CN"/>
        </w:rPr>
      </w:pPr>
      <w:bookmarkStart w:id="38" w:name="_Toc7312"/>
      <w:r>
        <w:rPr>
          <w:rFonts w:hint="eastAsia"/>
          <w:spacing w:val="7"/>
          <w:sz w:val="20"/>
          <w:szCs w:val="20"/>
          <w:lang w:val="en-US" w:eastAsia="zh-CN"/>
        </w:rPr>
        <w:t>6.4.2 作业行为</w:t>
      </w:r>
      <w:bookmarkEnd w:id="38"/>
    </w:p>
    <w:p w14:paraId="4A361C40">
      <w:pPr>
        <w:pStyle w:val="3"/>
        <w:numPr>
          <w:ilvl w:val="0"/>
          <w:numId w:val="0"/>
        </w:numPr>
        <w:spacing w:before="66" w:line="230" w:lineRule="auto"/>
        <w:ind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主检机构管理者代表应依法合理进行检验检测过程组织和管理，加强对棉花公证检验人员每一项作业行为的规范和安全管理的检查，确保各项安全作业管理要求落到实处。 </w:t>
      </w:r>
    </w:p>
    <w:p w14:paraId="70AA51FD">
      <w:pPr>
        <w:pStyle w:val="3"/>
        <w:numPr>
          <w:ilvl w:val="0"/>
          <w:numId w:val="0"/>
        </w:numPr>
        <w:spacing w:before="66" w:line="230" w:lineRule="auto"/>
        <w:ind w:leftChars="0"/>
        <w:outlineLvl w:val="1"/>
        <w:rPr>
          <w:rFonts w:hint="eastAsia"/>
          <w:spacing w:val="7"/>
          <w:sz w:val="20"/>
          <w:szCs w:val="20"/>
          <w:lang w:val="en-US" w:eastAsia="zh-CN"/>
        </w:rPr>
      </w:pPr>
      <w:bookmarkStart w:id="39" w:name="_Toc5498"/>
      <w:r>
        <w:rPr>
          <w:rFonts w:hint="eastAsia"/>
          <w:spacing w:val="7"/>
          <w:sz w:val="20"/>
          <w:szCs w:val="20"/>
          <w:lang w:val="en-US" w:eastAsia="zh-CN"/>
        </w:rPr>
        <w:t>6.4.3 警示标志</w:t>
      </w:r>
      <w:bookmarkEnd w:id="39"/>
    </w:p>
    <w:p w14:paraId="7FE31A3B">
      <w:pPr>
        <w:pStyle w:val="3"/>
        <w:numPr>
          <w:ilvl w:val="0"/>
          <w:numId w:val="0"/>
        </w:numPr>
        <w:spacing w:before="66" w:line="230" w:lineRule="auto"/>
        <w:ind w:firstLine="400" w:firstLineChars="200"/>
        <w:outlineLvl w:val="1"/>
        <w:rPr>
          <w:rFonts w:hint="default" w:ascii="宋体" w:hAnsi="宋体" w:eastAsia="宋体" w:cs="宋体"/>
          <w:color w:val="FF0000"/>
          <w:sz w:val="20"/>
          <w:szCs w:val="20"/>
          <w:lang w:val="en-US" w:eastAsia="zh-CN"/>
        </w:rPr>
      </w:pPr>
      <w:r>
        <w:rPr>
          <w:rFonts w:hint="eastAsia" w:ascii="宋体" w:hAnsi="宋体" w:eastAsia="宋体" w:cs="宋体"/>
          <w:sz w:val="20"/>
          <w:szCs w:val="20"/>
          <w:lang w:val="en-US" w:eastAsia="zh-CN"/>
        </w:rPr>
        <w:t>应按照 GB 2893、GB 2894、GBZ 158 等有关规定和工作场所的安全风险特点，在有重大危险源和职业病危害因素的工作场所，设置明显的、符合有关规定要求的安全标志和职业病危害警示标识。</w:t>
      </w:r>
    </w:p>
    <w:p w14:paraId="27D04E67">
      <w:pPr>
        <w:pStyle w:val="3"/>
        <w:numPr>
          <w:ilvl w:val="0"/>
          <w:numId w:val="0"/>
        </w:numPr>
        <w:spacing w:before="66" w:line="230" w:lineRule="auto"/>
        <w:ind w:leftChars="0"/>
        <w:outlineLvl w:val="1"/>
        <w:rPr>
          <w:sz w:val="20"/>
          <w:szCs w:val="20"/>
        </w:rPr>
      </w:pPr>
      <w:bookmarkStart w:id="40" w:name="_Toc16279"/>
      <w:r>
        <w:rPr>
          <w:rFonts w:hint="eastAsia"/>
          <w:spacing w:val="5"/>
          <w:sz w:val="20"/>
          <w:szCs w:val="20"/>
          <w:lang w:val="en-US" w:eastAsia="zh-CN"/>
        </w:rPr>
        <w:t>6</w:t>
      </w:r>
      <w:r>
        <w:rPr>
          <w:spacing w:val="5"/>
          <w:sz w:val="20"/>
          <w:szCs w:val="20"/>
        </w:rPr>
        <w:t>.</w:t>
      </w:r>
      <w:r>
        <w:rPr>
          <w:rFonts w:hint="eastAsia"/>
          <w:spacing w:val="5"/>
          <w:sz w:val="20"/>
          <w:szCs w:val="20"/>
          <w:lang w:val="en-US" w:eastAsia="zh-CN"/>
        </w:rPr>
        <w:t>4.4</w:t>
      </w:r>
      <w:r>
        <w:rPr>
          <w:spacing w:val="5"/>
          <w:sz w:val="20"/>
          <w:szCs w:val="20"/>
        </w:rPr>
        <w:t xml:space="preserve"> 危害告知</w:t>
      </w:r>
      <w:bookmarkEnd w:id="40"/>
    </w:p>
    <w:p w14:paraId="67E4728B">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6.4.4.1 驻库检验机构与棉花公证检验人员下达公检任务或订立劳动合同时，应将工作过程中可能产生的职业病危害及其后果和防护措施如实告知从业人员，并在劳动合同中写明。</w:t>
      </w:r>
    </w:p>
    <w:p w14:paraId="6D1A65D9">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6.4.4.2 安委会应按照有关规定，在醒目位置设置公告栏，公布高温、低温、噪声、粉尘、紫外线等有关职业病防治的常识、职业病危害、事故应急救援措施和工作场所职业病危害因素检测结果。</w:t>
      </w:r>
    </w:p>
    <w:p w14:paraId="58DA0054">
      <w:pPr>
        <w:pStyle w:val="3"/>
        <w:numPr>
          <w:ilvl w:val="0"/>
          <w:numId w:val="0"/>
        </w:numPr>
        <w:spacing w:before="66" w:line="230" w:lineRule="auto"/>
        <w:ind w:leftChars="0"/>
        <w:outlineLvl w:val="1"/>
        <w:rPr>
          <w:rFonts w:hint="eastAsia"/>
          <w:spacing w:val="5"/>
          <w:sz w:val="20"/>
          <w:szCs w:val="20"/>
          <w:lang w:val="en-US" w:eastAsia="zh-CN"/>
        </w:rPr>
      </w:pPr>
      <w:bookmarkStart w:id="41" w:name="_Toc25315"/>
      <w:r>
        <w:rPr>
          <w:rFonts w:hint="eastAsia"/>
          <w:spacing w:val="5"/>
          <w:sz w:val="20"/>
          <w:szCs w:val="20"/>
          <w:lang w:val="en-US" w:eastAsia="zh-CN"/>
        </w:rPr>
        <w:t>6.4.5 主要危害因素管理</w:t>
      </w:r>
      <w:bookmarkEnd w:id="41"/>
    </w:p>
    <w:p w14:paraId="23C86CD5">
      <w:pPr>
        <w:pStyle w:val="3"/>
        <w:numPr>
          <w:ilvl w:val="0"/>
          <w:numId w:val="0"/>
        </w:numPr>
        <w:spacing w:before="66" w:line="230" w:lineRule="auto"/>
        <w:outlineLvl w:val="1"/>
        <w:rPr>
          <w:rFonts w:hint="eastAsia" w:ascii="黑体" w:hAnsi="黑体" w:eastAsia="黑体" w:cs="黑体"/>
          <w:spacing w:val="5"/>
          <w:sz w:val="20"/>
          <w:szCs w:val="20"/>
          <w:lang w:val="en-US" w:eastAsia="zh-CN"/>
        </w:rPr>
      </w:pPr>
      <w:r>
        <w:rPr>
          <w:rFonts w:hint="eastAsia" w:ascii="黑体" w:hAnsi="黑体" w:eastAsia="黑体" w:cs="黑体"/>
          <w:spacing w:val="5"/>
          <w:sz w:val="20"/>
          <w:szCs w:val="20"/>
          <w:lang w:val="en-US" w:eastAsia="zh-CN"/>
        </w:rPr>
        <w:t>6.4.5.1 电气因素</w:t>
      </w:r>
    </w:p>
    <w:p w14:paraId="7162B653">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主检机构宜按 GB/T 27476.2 要求实施现场检验杂质机、电脑、空调、电瓶三轮车充电桩等检验用电气安全管理，预防触电、电气火灾、雷电危害、静电危害。</w:t>
      </w:r>
    </w:p>
    <w:p w14:paraId="6D060CCB">
      <w:pPr>
        <w:pStyle w:val="3"/>
        <w:numPr>
          <w:ilvl w:val="0"/>
          <w:numId w:val="0"/>
        </w:numPr>
        <w:spacing w:before="66" w:line="230" w:lineRule="auto"/>
        <w:outlineLvl w:val="1"/>
        <w:rPr>
          <w:rFonts w:hint="eastAsia" w:ascii="黑体" w:hAnsi="黑体" w:eastAsia="黑体" w:cs="黑体"/>
          <w:spacing w:val="5"/>
          <w:sz w:val="20"/>
          <w:szCs w:val="20"/>
          <w:lang w:val="en-US" w:eastAsia="zh-CN"/>
        </w:rPr>
      </w:pPr>
      <w:r>
        <w:rPr>
          <w:rFonts w:hint="eastAsia" w:ascii="黑体" w:hAnsi="黑体" w:eastAsia="黑体" w:cs="黑体"/>
          <w:spacing w:val="5"/>
          <w:sz w:val="20"/>
          <w:szCs w:val="20"/>
          <w:lang w:val="en-US" w:eastAsia="zh-CN"/>
        </w:rPr>
        <w:t>6.4.5.2 机械因素</w:t>
      </w:r>
    </w:p>
    <w:p w14:paraId="3C08694F">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主检机构宜按 GB/T 27476.3 要求实施现场检验杂质机、电瓶三轮车等机构安全管理，确保5.2.1中相关设施、设备、环境的机械因素安全。</w:t>
      </w:r>
    </w:p>
    <w:p w14:paraId="50D0A36D">
      <w:pPr>
        <w:pStyle w:val="3"/>
        <w:numPr>
          <w:ilvl w:val="0"/>
          <w:numId w:val="0"/>
        </w:numPr>
        <w:spacing w:before="66" w:line="230" w:lineRule="auto"/>
        <w:outlineLvl w:val="1"/>
        <w:rPr>
          <w:rFonts w:hint="eastAsia" w:ascii="黑体" w:hAnsi="黑体" w:eastAsia="黑体" w:cs="黑体"/>
          <w:spacing w:val="5"/>
          <w:sz w:val="20"/>
          <w:szCs w:val="20"/>
          <w:lang w:val="en-US" w:eastAsia="zh-CN"/>
        </w:rPr>
      </w:pPr>
      <w:r>
        <w:rPr>
          <w:rFonts w:hint="eastAsia" w:ascii="黑体" w:hAnsi="黑体" w:eastAsia="黑体" w:cs="黑体"/>
          <w:spacing w:val="5"/>
          <w:sz w:val="20"/>
          <w:szCs w:val="20"/>
          <w:lang w:val="en-US" w:eastAsia="zh-CN"/>
        </w:rPr>
        <w:t>6.4.5.3 人体工效学因素</w:t>
      </w:r>
    </w:p>
    <w:p w14:paraId="662710A6">
      <w:pPr>
        <w:spacing w:before="52" w:line="312" w:lineRule="exact"/>
        <w:ind w:firstLine="400" w:firstLineChars="200"/>
        <w:rPr>
          <w:rFonts w:hint="default" w:ascii="宋体" w:hAnsi="宋体" w:eastAsia="宋体" w:cs="宋体"/>
          <w:color w:val="FF0000"/>
          <w:sz w:val="20"/>
          <w:szCs w:val="20"/>
          <w:lang w:val="en-US" w:eastAsia="zh-CN"/>
        </w:rPr>
      </w:pPr>
      <w:r>
        <w:rPr>
          <w:rFonts w:hint="eastAsia" w:ascii="宋体" w:hAnsi="宋体" w:eastAsia="宋体" w:cs="宋体"/>
          <w:sz w:val="20"/>
          <w:szCs w:val="20"/>
          <w:lang w:val="en-US" w:eastAsia="zh-CN"/>
        </w:rPr>
        <w:t>在库机构宜按 GB/T 27476、GBZ/T 229.3 、GB/T 14440、</w:t>
      </w:r>
      <w:r>
        <w:rPr>
          <w:rFonts w:hint="eastAsia" w:ascii="宋体" w:hAnsi="宋体" w:eastAsia="宋体" w:cs="宋体"/>
          <w:spacing w:val="8"/>
          <w:sz w:val="20"/>
          <w:szCs w:val="20"/>
          <w:lang w:eastAsia="zh-CN"/>
        </w:rPr>
        <w:t>GBZ</w:t>
      </w:r>
      <w:r>
        <w:rPr>
          <w:rFonts w:hint="eastAsia" w:ascii="宋体" w:hAnsi="宋体" w:eastAsia="宋体" w:cs="宋体"/>
          <w:spacing w:val="8"/>
          <w:sz w:val="20"/>
          <w:szCs w:val="20"/>
          <w:lang w:val="en-US" w:eastAsia="zh-CN"/>
        </w:rPr>
        <w:t xml:space="preserve"> </w:t>
      </w:r>
      <w:r>
        <w:rPr>
          <w:rFonts w:hint="eastAsia" w:ascii="宋体" w:hAnsi="宋体" w:eastAsia="宋体" w:cs="宋体"/>
          <w:spacing w:val="8"/>
          <w:sz w:val="20"/>
          <w:szCs w:val="20"/>
          <w:lang w:eastAsia="zh-CN"/>
        </w:rPr>
        <w:t>2.2、</w:t>
      </w:r>
      <w:r>
        <w:rPr>
          <w:rFonts w:hint="eastAsia" w:ascii="宋体" w:hAnsi="宋体" w:eastAsia="宋体" w:cs="宋体"/>
          <w:sz w:val="20"/>
          <w:szCs w:val="20"/>
          <w:lang w:val="en-US" w:eastAsia="zh-CN"/>
        </w:rPr>
        <w:t xml:space="preserve">GBZ 229.1等标准要求，实施现场检验工作负荷、生物力学、心理负荷、环境因素（如高温、低温、噪声、紫外线、棉尘）等人体工效因素安全管理，确保棉花公证检验人员的生理和心理健康。 </w:t>
      </w:r>
    </w:p>
    <w:p w14:paraId="526D996B">
      <w:pPr>
        <w:pStyle w:val="3"/>
        <w:spacing w:before="0" w:beforeLines="50" w:afterLines="50" w:line="240" w:lineRule="auto"/>
        <w:outlineLvl w:val="1"/>
        <w:rPr>
          <w:spacing w:val="4"/>
          <w:sz w:val="20"/>
          <w:szCs w:val="20"/>
        </w:rPr>
      </w:pPr>
      <w:bookmarkStart w:id="42" w:name="_Toc13195"/>
      <w:r>
        <w:rPr>
          <w:rFonts w:hint="default"/>
          <w:spacing w:val="4"/>
          <w:sz w:val="20"/>
          <w:szCs w:val="20"/>
          <w:lang w:val="en-US" w:eastAsia="zh-CN"/>
        </w:rPr>
        <w:t xml:space="preserve">6.5 </w:t>
      </w:r>
      <w:r>
        <w:rPr>
          <w:spacing w:val="4"/>
          <w:sz w:val="20"/>
          <w:szCs w:val="20"/>
        </w:rPr>
        <w:t>应急准备与响应</w:t>
      </w:r>
      <w:bookmarkEnd w:id="42"/>
    </w:p>
    <w:p w14:paraId="3DD185FF">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6.5.1 应在开展安全风险评估和应急资源调查的基</w:t>
      </w:r>
      <w:r>
        <w:rPr>
          <w:rFonts w:hint="eastAsia" w:ascii="宋体" w:hAnsi="宋体" w:eastAsia="宋体" w:cs="宋体"/>
          <w:color w:val="auto"/>
          <w:sz w:val="20"/>
          <w:szCs w:val="20"/>
          <w:lang w:val="en-US" w:eastAsia="zh-CN"/>
        </w:rPr>
        <w:t>础上，建立高温中暑、低温冻僵（伤）、食物中毒、地震、疫情等安全事故应急预案体系，制定符合 GB/T 29639 规定的安全</w:t>
      </w:r>
      <w:r>
        <w:rPr>
          <w:rFonts w:hint="eastAsia" w:ascii="宋体" w:hAnsi="宋体" w:eastAsia="宋体" w:cs="宋体"/>
          <w:sz w:val="20"/>
          <w:szCs w:val="20"/>
          <w:lang w:val="en-US" w:eastAsia="zh-CN"/>
        </w:rPr>
        <w:t>事故应急预案，针对安全风险较大的重点场所制定现场处置方案。</w:t>
      </w:r>
    </w:p>
    <w:p w14:paraId="28FBE129">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6.5.2 应根据可能发生的事故种类特点，按照有关规定设置应急设施，配备应急装备，储备应急物资，建立管理台账，安排专人管理，并定期检查、维护、保养，确保其完好、可靠。</w:t>
      </w:r>
    </w:p>
    <w:p w14:paraId="152BA942">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6.5.3 应按照 AQ/T 9007 的规定定期开展安全事故应急演练，做到现场检验人员参与应急演练全覆盖，并按照 AQ/T 9009 的规定对演练进行总结和评估，根据评估结论和演练发现的问题，修订、完善应急预案，改进应急准备工作。</w:t>
      </w:r>
    </w:p>
    <w:p w14:paraId="39741919">
      <w:pPr>
        <w:pStyle w:val="3"/>
        <w:spacing w:before="0" w:beforeLines="50" w:afterLines="50" w:line="240" w:lineRule="auto"/>
        <w:outlineLvl w:val="1"/>
        <w:rPr>
          <w:color w:val="000000"/>
          <w:spacing w:val="4"/>
          <w:sz w:val="20"/>
          <w:szCs w:val="20"/>
          <w:highlight w:val="none"/>
        </w:rPr>
      </w:pPr>
      <w:bookmarkStart w:id="43" w:name="_Toc29595"/>
      <w:r>
        <w:rPr>
          <w:rFonts w:hint="default"/>
          <w:color w:val="000000"/>
          <w:spacing w:val="4"/>
          <w:sz w:val="20"/>
          <w:szCs w:val="20"/>
          <w:highlight w:val="none"/>
          <w:lang w:val="en-US" w:eastAsia="zh-CN"/>
        </w:rPr>
        <w:t>6</w:t>
      </w:r>
      <w:r>
        <w:rPr>
          <w:color w:val="000000"/>
          <w:spacing w:val="4"/>
          <w:sz w:val="20"/>
          <w:szCs w:val="20"/>
          <w:highlight w:val="none"/>
        </w:rPr>
        <w:t>.</w:t>
      </w:r>
      <w:r>
        <w:rPr>
          <w:rFonts w:hint="default"/>
          <w:color w:val="000000"/>
          <w:spacing w:val="4"/>
          <w:sz w:val="20"/>
          <w:szCs w:val="20"/>
          <w:highlight w:val="none"/>
          <w:lang w:val="en-US" w:eastAsia="zh-CN"/>
        </w:rPr>
        <w:t>6</w:t>
      </w:r>
      <w:r>
        <w:rPr>
          <w:color w:val="000000"/>
          <w:spacing w:val="4"/>
          <w:sz w:val="20"/>
          <w:szCs w:val="20"/>
          <w:highlight w:val="none"/>
        </w:rPr>
        <w:t xml:space="preserve">  事故管理</w:t>
      </w:r>
      <w:bookmarkEnd w:id="43"/>
    </w:p>
    <w:p w14:paraId="7E70AE86">
      <w:pPr>
        <w:pStyle w:val="3"/>
        <w:numPr>
          <w:ilvl w:val="0"/>
          <w:numId w:val="0"/>
        </w:numPr>
        <w:spacing w:before="66" w:line="230" w:lineRule="auto"/>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6.6.1 在库机构应为参与棉花公证检验人员购买人身意外伤害保险。</w:t>
      </w:r>
    </w:p>
    <w:p w14:paraId="2F4CD8BF">
      <w:pPr>
        <w:pStyle w:val="3"/>
        <w:numPr>
          <w:ilvl w:val="0"/>
          <w:numId w:val="0"/>
        </w:numPr>
        <w:spacing w:before="66" w:line="230" w:lineRule="auto"/>
        <w:outlineLvl w:val="1"/>
        <w:rPr>
          <w:rFonts w:hint="eastAsia" w:ascii="宋体" w:hAnsi="宋体" w:eastAsia="宋体" w:cs="宋体"/>
          <w:sz w:val="20"/>
          <w:szCs w:val="20"/>
          <w:lang w:val="en-US" w:eastAsia="zh-CN"/>
        </w:rPr>
      </w:pPr>
      <w:bookmarkStart w:id="44" w:name="_Toc14397"/>
      <w:bookmarkStart w:id="45" w:name="_Toc2061"/>
      <w:bookmarkStart w:id="46" w:name="_Toc7226"/>
      <w:r>
        <w:rPr>
          <w:rFonts w:hint="eastAsia" w:ascii="宋体" w:hAnsi="宋体" w:eastAsia="宋体" w:cs="宋体"/>
          <w:sz w:val="20"/>
          <w:szCs w:val="20"/>
          <w:lang w:val="en-US" w:eastAsia="zh-CN"/>
        </w:rPr>
        <w:t>6.6.2 应建立事故报告程序，明确事故内外部报告的责任人、时限、内容等，并教育、指导 棉花公证检验人员严格按照有关规定的程序报告发生的安全检验事故。</w:t>
      </w:r>
      <w:bookmarkEnd w:id="44"/>
      <w:bookmarkEnd w:id="45"/>
      <w:bookmarkEnd w:id="46"/>
    </w:p>
    <w:p w14:paraId="290FD16C">
      <w:pPr>
        <w:pStyle w:val="3"/>
        <w:numPr>
          <w:ilvl w:val="0"/>
          <w:numId w:val="0"/>
        </w:numPr>
        <w:spacing w:before="66" w:line="230" w:lineRule="auto"/>
        <w:outlineLvl w:val="1"/>
        <w:rPr>
          <w:rFonts w:hint="eastAsia" w:ascii="宋体" w:hAnsi="宋体" w:eastAsia="宋体" w:cs="宋体"/>
          <w:sz w:val="20"/>
          <w:szCs w:val="20"/>
          <w:lang w:val="en-US" w:eastAsia="zh-CN"/>
        </w:rPr>
      </w:pPr>
      <w:bookmarkStart w:id="47" w:name="_Toc12579"/>
      <w:bookmarkStart w:id="48" w:name="_Toc19218"/>
      <w:bookmarkStart w:id="49" w:name="_Toc27252"/>
      <w:r>
        <w:rPr>
          <w:rFonts w:hint="eastAsia" w:ascii="宋体" w:hAnsi="宋体" w:eastAsia="宋体" w:cs="宋体"/>
          <w:sz w:val="20"/>
          <w:szCs w:val="20"/>
          <w:lang w:val="en-US" w:eastAsia="zh-CN"/>
        </w:rPr>
        <w:t>6.6.3 发生事故后，主检机构管理者代表应根据预案要求，立即启动应急响应程序，按照有关规定逐级上报事故情况，并开展先期处置。</w:t>
      </w:r>
    </w:p>
    <w:p w14:paraId="2A8319F3">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6.6.4 应建立内部事故调查和处理制度，按照有关规定，将造成棉花公证检验人员人身伤害（包括轻伤、重伤、死亡等）、急性中毒和财产损失的事故纳入事故调查和处理范畴。</w:t>
      </w:r>
      <w:bookmarkEnd w:id="47"/>
      <w:bookmarkEnd w:id="48"/>
      <w:bookmarkEnd w:id="49"/>
    </w:p>
    <w:p w14:paraId="75584C9E">
      <w:pPr>
        <w:pStyle w:val="3"/>
        <w:numPr>
          <w:ilvl w:val="0"/>
          <w:numId w:val="0"/>
        </w:numPr>
        <w:spacing w:before="66" w:line="230" w:lineRule="auto"/>
        <w:outlineLvl w:val="1"/>
        <w:rPr>
          <w:rFonts w:hint="eastAsia" w:ascii="Arial" w:eastAsia="宋体"/>
          <w:sz w:val="21"/>
          <w:lang w:eastAsia="zh-CN"/>
        </w:rPr>
      </w:pPr>
      <w:bookmarkStart w:id="50" w:name="_Toc25303"/>
      <w:bookmarkStart w:id="51" w:name="_Toc26213"/>
      <w:bookmarkStart w:id="52" w:name="_Toc6250"/>
      <w:r>
        <w:rPr>
          <w:rFonts w:hint="eastAsia" w:ascii="宋体" w:hAnsi="宋体" w:eastAsia="宋体" w:cs="宋体"/>
          <w:sz w:val="20"/>
          <w:szCs w:val="20"/>
          <w:lang w:val="en-US" w:eastAsia="zh-CN"/>
        </w:rPr>
        <w:t>6.6.5 应建立事故档案和管理台账，将来访者及陪同人员等相关方在现场检验区域发生的事故纳入事故管理范围。</w:t>
      </w:r>
      <w:bookmarkEnd w:id="50"/>
      <w:bookmarkEnd w:id="51"/>
      <w:bookmarkEnd w:id="52"/>
    </w:p>
    <w:p w14:paraId="4894F9A7">
      <w:pPr>
        <w:pStyle w:val="3"/>
        <w:spacing w:before="0" w:beforeLines="100" w:afterLines="100" w:line="240" w:lineRule="auto"/>
        <w:ind w:left="0"/>
        <w:outlineLvl w:val="0"/>
        <w:rPr>
          <w:rFonts w:ascii="黑体"/>
          <w:spacing w:val="-3"/>
          <w:sz w:val="20"/>
          <w:szCs w:val="20"/>
        </w:rPr>
      </w:pPr>
      <w:bookmarkStart w:id="53" w:name="_Toc4976"/>
      <w:r>
        <w:rPr>
          <w:rFonts w:hint="default"/>
          <w:spacing w:val="-3"/>
          <w:sz w:val="20"/>
          <w:szCs w:val="20"/>
          <w:lang w:val="en-US" w:eastAsia="zh-CN"/>
        </w:rPr>
        <w:t>7</w:t>
      </w:r>
      <w:r>
        <w:rPr>
          <w:spacing w:val="-3"/>
          <w:sz w:val="20"/>
          <w:szCs w:val="20"/>
        </w:rPr>
        <w:t xml:space="preserve"> </w:t>
      </w:r>
      <w:r>
        <w:rPr>
          <w:rFonts w:hint="eastAsia"/>
          <w:spacing w:val="-3"/>
          <w:sz w:val="20"/>
          <w:szCs w:val="20"/>
          <w:lang w:val="en-US" w:eastAsia="zh-CN"/>
        </w:rPr>
        <w:t>检查</w:t>
      </w:r>
      <w:r>
        <w:rPr>
          <w:rFonts w:hint="default"/>
          <w:spacing w:val="-3"/>
          <w:sz w:val="20"/>
          <w:szCs w:val="20"/>
          <w:lang w:eastAsia="zh-CN"/>
        </w:rPr>
        <w:t>、</w:t>
      </w:r>
      <w:r>
        <w:rPr>
          <w:spacing w:val="-3"/>
          <w:sz w:val="20"/>
          <w:szCs w:val="20"/>
        </w:rPr>
        <w:t>分析和评价</w:t>
      </w:r>
      <w:bookmarkEnd w:id="53"/>
    </w:p>
    <w:p w14:paraId="7C3418CC">
      <w:pPr>
        <w:pStyle w:val="3"/>
        <w:spacing w:before="0" w:beforeLines="50" w:afterLines="50" w:line="240" w:lineRule="auto"/>
        <w:ind w:left="0"/>
        <w:outlineLvl w:val="1"/>
        <w:rPr>
          <w:color w:val="000000"/>
          <w:spacing w:val="4"/>
          <w:sz w:val="20"/>
          <w:szCs w:val="20"/>
        </w:rPr>
      </w:pPr>
      <w:bookmarkStart w:id="54" w:name="_Toc8153"/>
      <w:r>
        <w:rPr>
          <w:rFonts w:hint="default"/>
          <w:color w:val="000000"/>
          <w:spacing w:val="4"/>
          <w:sz w:val="20"/>
          <w:szCs w:val="20"/>
          <w:lang w:val="en-US" w:eastAsia="zh-CN"/>
        </w:rPr>
        <w:t>7</w:t>
      </w:r>
      <w:r>
        <w:rPr>
          <w:color w:val="000000"/>
          <w:spacing w:val="4"/>
          <w:sz w:val="20"/>
          <w:szCs w:val="20"/>
        </w:rPr>
        <w:t>.</w:t>
      </w:r>
      <w:r>
        <w:rPr>
          <w:rFonts w:hint="default"/>
          <w:color w:val="000000"/>
          <w:spacing w:val="4"/>
          <w:sz w:val="20"/>
          <w:szCs w:val="20"/>
          <w:lang w:val="en-US" w:eastAsia="zh-CN"/>
        </w:rPr>
        <w:t>1</w:t>
      </w:r>
      <w:r>
        <w:rPr>
          <w:color w:val="000000"/>
          <w:spacing w:val="4"/>
          <w:sz w:val="20"/>
          <w:szCs w:val="20"/>
        </w:rPr>
        <w:t xml:space="preserve"> 合规性评价</w:t>
      </w:r>
      <w:bookmarkEnd w:id="54"/>
    </w:p>
    <w:p w14:paraId="3A0E31B1">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应建立、实施和保持用于对法律法规要求和其他要求（见 6.2）的合规性进行评价的过程。</w:t>
      </w:r>
    </w:p>
    <w:p w14:paraId="0E8170FE">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最高管理者应组织：</w:t>
      </w:r>
    </w:p>
    <w:p w14:paraId="62CC9676">
      <w:pPr>
        <w:pStyle w:val="3"/>
        <w:numPr>
          <w:ilvl w:val="0"/>
          <w:numId w:val="7"/>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在每个棉花公证检验年度结束前至少评价1次，评价方法可以采取集中评审方法；</w:t>
      </w:r>
    </w:p>
    <w:p w14:paraId="3347CCED">
      <w:pPr>
        <w:pStyle w:val="3"/>
        <w:numPr>
          <w:ilvl w:val="0"/>
          <w:numId w:val="7"/>
        </w:numPr>
        <w:autoSpaceDE/>
        <w:autoSpaceDN/>
        <w:spacing w:before="0" w:line="240" w:lineRule="auto"/>
        <w:ind w:left="420" w:leftChars="200" w:firstLine="0" w:firstLineChars="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评价合规性，并在需要时采取措施；必要时将相关结果反馈任务下达部门和省级纤维检验机构；</w:t>
      </w:r>
    </w:p>
    <w:p w14:paraId="237D25E5">
      <w:pPr>
        <w:pStyle w:val="3"/>
        <w:numPr>
          <w:ilvl w:val="0"/>
          <w:numId w:val="7"/>
        </w:numPr>
        <w:autoSpaceDE/>
        <w:autoSpaceDN/>
        <w:spacing w:before="0" w:line="240" w:lineRule="auto"/>
        <w:ind w:left="420" w:leftChars="200" w:firstLine="0" w:firstLineChars="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保留合规性评价结果的相关记录。</w:t>
      </w:r>
    </w:p>
    <w:p w14:paraId="5CA46E3F">
      <w:pPr>
        <w:pStyle w:val="3"/>
        <w:spacing w:before="0" w:beforeLines="50" w:afterLines="50" w:line="240" w:lineRule="auto"/>
        <w:ind w:left="0"/>
        <w:outlineLvl w:val="1"/>
        <w:rPr>
          <w:spacing w:val="4"/>
          <w:sz w:val="20"/>
          <w:szCs w:val="20"/>
        </w:rPr>
      </w:pPr>
      <w:bookmarkStart w:id="55" w:name="_Toc20013"/>
      <w:r>
        <w:rPr>
          <w:rFonts w:hint="default"/>
          <w:spacing w:val="4"/>
          <w:sz w:val="20"/>
          <w:szCs w:val="20"/>
          <w:lang w:val="en-US" w:eastAsia="zh-CN"/>
        </w:rPr>
        <w:t>7</w:t>
      </w:r>
      <w:r>
        <w:rPr>
          <w:spacing w:val="4"/>
          <w:sz w:val="20"/>
          <w:szCs w:val="20"/>
        </w:rPr>
        <w:t>.</w:t>
      </w:r>
      <w:r>
        <w:rPr>
          <w:rFonts w:hint="default"/>
          <w:spacing w:val="4"/>
          <w:sz w:val="20"/>
          <w:szCs w:val="20"/>
          <w:lang w:val="en-US" w:eastAsia="zh-CN"/>
        </w:rPr>
        <w:t>2</w:t>
      </w:r>
      <w:r>
        <w:rPr>
          <w:spacing w:val="4"/>
          <w:sz w:val="20"/>
          <w:szCs w:val="20"/>
        </w:rPr>
        <w:t xml:space="preserve"> 职业病危害检测与评价</w:t>
      </w:r>
      <w:bookmarkEnd w:id="55"/>
    </w:p>
    <w:p w14:paraId="4A15CC14">
      <w:pPr>
        <w:spacing w:before="76" w:line="228" w:lineRule="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7.2.1 每年棉花公证检验开检前主检机构管理者代表应按照GBZ 229.1、GBZ 2.2对工作场所职业病危害因素（如室内粉尘、噪声等）进行监视和测量，必要时，应委托具有资质的第三方职业卫生技术服务机构进行，并保存监测记录。</w:t>
      </w:r>
    </w:p>
    <w:p w14:paraId="5E13C80E">
      <w:pPr>
        <w:pStyle w:val="3"/>
        <w:numPr>
          <w:ilvl w:val="0"/>
          <w:numId w:val="0"/>
        </w:numPr>
        <w:spacing w:before="66" w:line="230" w:lineRule="auto"/>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7.2.2 职业病危害因素浓度或强度超过职业接触限值的，应根据职业卫生技术服务机构提出的整改建议，结合实际情况，制定切实有效的整改方案进行整改。</w:t>
      </w:r>
    </w:p>
    <w:p w14:paraId="20318298">
      <w:pPr>
        <w:pStyle w:val="3"/>
        <w:spacing w:before="0" w:beforeLines="50" w:afterLines="50" w:line="240" w:lineRule="auto"/>
        <w:outlineLvl w:val="1"/>
        <w:rPr>
          <w:spacing w:val="4"/>
          <w:sz w:val="20"/>
          <w:szCs w:val="20"/>
        </w:rPr>
      </w:pPr>
      <w:bookmarkStart w:id="56" w:name="_Toc32246"/>
      <w:r>
        <w:rPr>
          <w:rFonts w:hint="default"/>
          <w:spacing w:val="4"/>
          <w:sz w:val="20"/>
          <w:szCs w:val="20"/>
          <w:lang w:val="en-US" w:eastAsia="zh-CN"/>
        </w:rPr>
        <w:t>7</w:t>
      </w:r>
      <w:r>
        <w:rPr>
          <w:spacing w:val="4"/>
          <w:sz w:val="20"/>
          <w:szCs w:val="20"/>
        </w:rPr>
        <w:t>.</w:t>
      </w:r>
      <w:r>
        <w:rPr>
          <w:rFonts w:hint="default"/>
          <w:spacing w:val="4"/>
          <w:sz w:val="20"/>
          <w:szCs w:val="20"/>
          <w:lang w:val="en-US" w:eastAsia="zh-CN"/>
        </w:rPr>
        <w:t>3</w:t>
      </w:r>
      <w:r>
        <w:rPr>
          <w:spacing w:val="4"/>
          <w:sz w:val="20"/>
          <w:szCs w:val="20"/>
        </w:rPr>
        <w:t xml:space="preserve"> 员工健康检查</w:t>
      </w:r>
      <w:bookmarkEnd w:id="56"/>
    </w:p>
    <w:p w14:paraId="787CC74E">
      <w:pPr>
        <w:pStyle w:val="3"/>
        <w:numPr>
          <w:ilvl w:val="0"/>
          <w:numId w:val="0"/>
        </w:numPr>
        <w:spacing w:before="66" w:line="230" w:lineRule="auto"/>
        <w:ind w:firstLine="400" w:firstLineChars="200"/>
        <w:outlineLvl w:val="1"/>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驻库检验机构应按照有关规定对从事棉花公证检验人员在公检开检和结束前分别进行一次健康检查，对检查结果进行分析研判，并保存体检结果。</w:t>
      </w:r>
    </w:p>
    <w:p w14:paraId="60ACAF3A">
      <w:pPr>
        <w:pStyle w:val="3"/>
        <w:spacing w:before="0" w:beforeLines="50" w:afterLines="50" w:line="240" w:lineRule="auto"/>
        <w:outlineLvl w:val="1"/>
        <w:rPr>
          <w:rFonts w:hint="default"/>
          <w:spacing w:val="4"/>
          <w:sz w:val="20"/>
          <w:szCs w:val="20"/>
          <w:lang w:val="en-US" w:eastAsia="zh-CN"/>
        </w:rPr>
      </w:pPr>
      <w:bookmarkStart w:id="57" w:name="_Toc24062"/>
      <w:r>
        <w:rPr>
          <w:rFonts w:hint="default"/>
          <w:spacing w:val="4"/>
          <w:sz w:val="20"/>
          <w:szCs w:val="20"/>
          <w:lang w:val="en-US" w:eastAsia="zh-CN"/>
        </w:rPr>
        <w:t>7.4  绩效评定</w:t>
      </w:r>
      <w:bookmarkEnd w:id="57"/>
    </w:p>
    <w:p w14:paraId="628323BD">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省级纤维检验机构每年应对现场检验安全管理工作情况至少进行一次全面检查与评价，验证本文件及各项安全制度措施的适宜性、充分性和有效性，并将评价结果作为下一个年度持续改进的主要依据。 </w:t>
      </w:r>
    </w:p>
    <w:p w14:paraId="6B12C89C">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p>
    <w:p w14:paraId="158E9DF4">
      <w:pPr>
        <w:pStyle w:val="3"/>
        <w:numPr>
          <w:ilvl w:val="0"/>
          <w:numId w:val="0"/>
        </w:numPr>
        <w:spacing w:before="66" w:line="230" w:lineRule="auto"/>
        <w:ind w:firstLine="400" w:firstLineChars="200"/>
        <w:outlineLvl w:val="1"/>
        <w:rPr>
          <w:rFonts w:hint="eastAsia" w:ascii="宋体" w:hAnsi="宋体" w:eastAsia="宋体" w:cs="宋体"/>
          <w:sz w:val="20"/>
          <w:szCs w:val="20"/>
          <w:lang w:val="en-US" w:eastAsia="zh-CN"/>
        </w:rPr>
      </w:pPr>
    </w:p>
    <w:p w14:paraId="0F1A7C32">
      <w:pPr>
        <w:rPr>
          <w:rFonts w:hint="eastAsia"/>
          <w:spacing w:val="5"/>
          <w:sz w:val="20"/>
          <w:szCs w:val="20"/>
          <w:lang w:val="en-US" w:eastAsia="zh-CN"/>
        </w:rPr>
      </w:pPr>
      <w:r>
        <w:rPr>
          <w:rFonts w:hint="eastAsia"/>
          <w:spacing w:val="5"/>
          <w:sz w:val="20"/>
          <w:szCs w:val="20"/>
          <w:lang w:val="en-US" w:eastAsia="zh-CN"/>
        </w:rPr>
        <w:br w:type="page"/>
      </w:r>
    </w:p>
    <w:p w14:paraId="6CFC1B9B">
      <w:pPr>
        <w:pStyle w:val="3"/>
        <w:spacing w:before="0" w:line="240" w:lineRule="auto"/>
        <w:jc w:val="center"/>
        <w:outlineLvl w:val="1"/>
        <w:rPr>
          <w:rFonts w:hint="eastAsia"/>
          <w:spacing w:val="5"/>
          <w:sz w:val="20"/>
          <w:szCs w:val="20"/>
          <w:lang w:val="en-US" w:eastAsia="zh-CN"/>
        </w:rPr>
      </w:pPr>
      <w:r>
        <w:rPr>
          <w:rFonts w:hint="eastAsia"/>
          <w:spacing w:val="5"/>
          <w:sz w:val="20"/>
          <w:szCs w:val="20"/>
          <w:lang w:val="en-US" w:eastAsia="zh-CN"/>
        </w:rPr>
        <w:t>附录A</w:t>
      </w:r>
    </w:p>
    <w:p w14:paraId="1ECFD401">
      <w:pPr>
        <w:pStyle w:val="3"/>
        <w:spacing w:before="0" w:line="240" w:lineRule="auto"/>
        <w:jc w:val="center"/>
        <w:outlineLvl w:val="1"/>
        <w:rPr>
          <w:rFonts w:hint="eastAsia"/>
          <w:spacing w:val="5"/>
          <w:sz w:val="20"/>
          <w:szCs w:val="20"/>
          <w:lang w:val="en-US" w:eastAsia="zh-CN"/>
        </w:rPr>
      </w:pPr>
      <w:r>
        <w:rPr>
          <w:rFonts w:hint="eastAsia"/>
          <w:spacing w:val="5"/>
          <w:sz w:val="20"/>
          <w:szCs w:val="20"/>
          <w:lang w:val="en-US" w:eastAsia="zh-CN"/>
        </w:rPr>
        <w:t xml:space="preserve">（资料性） </w:t>
      </w:r>
    </w:p>
    <w:p w14:paraId="500D403A">
      <w:pPr>
        <w:pStyle w:val="3"/>
        <w:spacing w:before="0" w:line="240" w:lineRule="auto"/>
        <w:jc w:val="center"/>
        <w:outlineLvl w:val="1"/>
        <w:rPr>
          <w:rFonts w:hint="default"/>
          <w:spacing w:val="5"/>
          <w:sz w:val="20"/>
          <w:szCs w:val="20"/>
          <w:lang w:val="en-US" w:eastAsia="zh-CN"/>
        </w:rPr>
      </w:pPr>
      <w:r>
        <w:rPr>
          <w:rFonts w:hint="eastAsia"/>
          <w:spacing w:val="5"/>
          <w:sz w:val="20"/>
          <w:szCs w:val="20"/>
          <w:lang w:val="en-US" w:eastAsia="zh-CN"/>
        </w:rPr>
        <w:t>棉花公证检验 现场检验人员个体防护装备基本配置方案</w:t>
      </w:r>
    </w:p>
    <w:p w14:paraId="7E79EC59">
      <w:pPr>
        <w:pStyle w:val="3"/>
        <w:spacing w:line="240" w:lineRule="auto"/>
        <w:jc w:val="center"/>
        <w:outlineLvl w:val="1"/>
        <w:rPr>
          <w:rFonts w:hint="eastAsia"/>
          <w:spacing w:val="5"/>
          <w:sz w:val="20"/>
          <w:szCs w:val="20"/>
          <w:lang w:val="en-US" w:eastAsia="zh-CN"/>
        </w:rPr>
      </w:pPr>
    </w:p>
    <w:tbl>
      <w:tblPr>
        <w:tblStyle w:val="10"/>
        <w:tblpPr w:leftFromText="180" w:rightFromText="180" w:vertAnchor="text" w:horzAnchor="page" w:tblpX="2336" w:tblpY="-1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695"/>
        <w:gridCol w:w="372"/>
        <w:gridCol w:w="971"/>
        <w:gridCol w:w="729"/>
        <w:gridCol w:w="922"/>
        <w:gridCol w:w="920"/>
        <w:gridCol w:w="883"/>
        <w:gridCol w:w="907"/>
      </w:tblGrid>
      <w:tr w14:paraId="45D6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509" w:type="dxa"/>
            <w:gridSpan w:val="2"/>
            <w:vMerge w:val="restart"/>
            <w:noWrap w:val="0"/>
            <w:vAlign w:val="center"/>
          </w:tcPr>
          <w:p w14:paraId="00604D88">
            <w:pPr>
              <w:autoSpaceDE/>
              <w:autoSpaceDN/>
              <w:snapToGrid/>
              <w:jc w:val="center"/>
              <w:rPr>
                <w:rFonts w:hint="eastAsia" w:asciiTheme="minorEastAsia" w:hAnsiTheme="minorEastAsia" w:eastAsiaTheme="minorEastAsia" w:cstheme="minorEastAsia"/>
                <w:b/>
                <w:bCs/>
                <w:sz w:val="18"/>
                <w:szCs w:val="18"/>
              </w:rPr>
            </w:pPr>
          </w:p>
          <w:p w14:paraId="0DBED420">
            <w:pPr>
              <w:autoSpaceDE/>
              <w:autoSpaceDN/>
              <w:snapToGrid/>
              <w:jc w:val="center"/>
              <w:rPr>
                <w:rFonts w:hint="eastAsia" w:asciiTheme="minorEastAsia" w:hAnsiTheme="minorEastAsia" w:eastAsiaTheme="minorEastAsia" w:cstheme="minorEastAsia"/>
                <w:b/>
                <w:bCs/>
                <w:sz w:val="18"/>
                <w:szCs w:val="18"/>
                <w:lang w:eastAsia="zh-CN"/>
              </w:rPr>
            </w:pPr>
            <w:r>
              <w:rPr>
                <w:rFonts w:hint="eastAsia" w:asciiTheme="minorEastAsia" w:hAnsiTheme="minorEastAsia" w:eastAsiaTheme="minorEastAsia" w:cstheme="minorEastAsia"/>
                <w:b/>
                <w:bCs/>
                <w:sz w:val="18"/>
                <w:szCs w:val="18"/>
              </w:rPr>
              <w:t>防护用品</w:t>
            </w:r>
          </w:p>
        </w:tc>
        <w:tc>
          <w:tcPr>
            <w:tcW w:w="5704" w:type="dxa"/>
            <w:gridSpan w:val="7"/>
            <w:noWrap w:val="0"/>
            <w:vAlign w:val="center"/>
          </w:tcPr>
          <w:p w14:paraId="0BD47AB6">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工作岗位</w:t>
            </w:r>
          </w:p>
        </w:tc>
      </w:tr>
      <w:tr w14:paraId="47D0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509" w:type="dxa"/>
            <w:gridSpan w:val="2"/>
            <w:vMerge w:val="continue"/>
            <w:tcBorders>
              <w:tl2br w:val="single" w:color="auto" w:sz="4" w:space="0"/>
            </w:tcBorders>
            <w:noWrap w:val="0"/>
            <w:vAlign w:val="center"/>
          </w:tcPr>
          <w:p w14:paraId="02703CD8">
            <w:pPr>
              <w:autoSpaceDE/>
              <w:autoSpaceDN/>
              <w:jc w:val="center"/>
              <w:rPr>
                <w:rFonts w:hint="eastAsia" w:asciiTheme="minorEastAsia" w:hAnsiTheme="minorEastAsia" w:eastAsiaTheme="minorEastAsia" w:cstheme="minorEastAsia"/>
                <w:b/>
                <w:bCs/>
                <w:sz w:val="18"/>
                <w:szCs w:val="18"/>
                <w:lang w:eastAsia="zh-CN"/>
              </w:rPr>
            </w:pPr>
          </w:p>
        </w:tc>
        <w:tc>
          <w:tcPr>
            <w:tcW w:w="372" w:type="dxa"/>
            <w:vMerge w:val="restart"/>
            <w:noWrap w:val="0"/>
            <w:vAlign w:val="center"/>
          </w:tcPr>
          <w:p w14:paraId="539592E0">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监磅</w:t>
            </w:r>
          </w:p>
        </w:tc>
        <w:tc>
          <w:tcPr>
            <w:tcW w:w="2622" w:type="dxa"/>
            <w:gridSpan w:val="3"/>
            <w:noWrap w:val="0"/>
            <w:vAlign w:val="center"/>
          </w:tcPr>
          <w:p w14:paraId="49E01768">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露天操作岗位</w:t>
            </w:r>
          </w:p>
        </w:tc>
        <w:tc>
          <w:tcPr>
            <w:tcW w:w="920" w:type="dxa"/>
            <w:vMerge w:val="restart"/>
            <w:noWrap w:val="0"/>
            <w:vAlign w:val="center"/>
          </w:tcPr>
          <w:p w14:paraId="3C1C4455">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杂质</w:t>
            </w:r>
          </w:p>
          <w:p w14:paraId="0B0028CF">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检验</w:t>
            </w:r>
          </w:p>
        </w:tc>
        <w:tc>
          <w:tcPr>
            <w:tcW w:w="883" w:type="dxa"/>
            <w:vMerge w:val="restart"/>
            <w:noWrap w:val="0"/>
            <w:vAlign w:val="center"/>
          </w:tcPr>
          <w:p w14:paraId="2A06D529">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样品</w:t>
            </w:r>
          </w:p>
          <w:p w14:paraId="6E391069">
            <w:pPr>
              <w:autoSpaceDE/>
              <w:autoSpaceDN/>
              <w:jc w:val="center"/>
              <w:rPr>
                <w:rFonts w:hint="eastAsia" w:asciiTheme="minorEastAsia" w:hAnsiTheme="minorEastAsia" w:eastAsiaTheme="minorEastAsia" w:cstheme="minorEastAsia"/>
                <w:b/>
                <w:bCs/>
                <w:sz w:val="18"/>
                <w:szCs w:val="18"/>
                <w:lang w:eastAsia="zh-CN"/>
              </w:rPr>
            </w:pPr>
            <w:r>
              <w:rPr>
                <w:rFonts w:hint="eastAsia" w:asciiTheme="minorEastAsia" w:hAnsiTheme="minorEastAsia" w:eastAsiaTheme="minorEastAsia" w:cstheme="minorEastAsia"/>
                <w:b/>
                <w:bCs/>
                <w:sz w:val="18"/>
                <w:szCs w:val="18"/>
              </w:rPr>
              <w:t>交接</w:t>
            </w:r>
          </w:p>
        </w:tc>
        <w:tc>
          <w:tcPr>
            <w:tcW w:w="907" w:type="dxa"/>
            <w:vMerge w:val="restart"/>
            <w:noWrap w:val="0"/>
            <w:vAlign w:val="center"/>
          </w:tcPr>
          <w:p w14:paraId="7B60C055">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数据</w:t>
            </w:r>
          </w:p>
          <w:p w14:paraId="2CC842B1">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处理</w:t>
            </w:r>
          </w:p>
        </w:tc>
      </w:tr>
      <w:tr w14:paraId="2D09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9" w:type="dxa"/>
            <w:gridSpan w:val="2"/>
            <w:vMerge w:val="continue"/>
            <w:tcBorders>
              <w:tl2br w:val="single" w:color="auto" w:sz="4" w:space="0"/>
            </w:tcBorders>
            <w:noWrap w:val="0"/>
            <w:vAlign w:val="center"/>
          </w:tcPr>
          <w:p w14:paraId="74873B2A">
            <w:pPr>
              <w:autoSpaceDE/>
              <w:autoSpaceDN/>
              <w:jc w:val="center"/>
              <w:rPr>
                <w:rFonts w:hint="eastAsia" w:asciiTheme="minorEastAsia" w:hAnsiTheme="minorEastAsia" w:eastAsiaTheme="minorEastAsia" w:cstheme="minorEastAsia"/>
                <w:b w:val="0"/>
                <w:bCs w:val="0"/>
                <w:sz w:val="18"/>
                <w:szCs w:val="18"/>
              </w:rPr>
            </w:pPr>
          </w:p>
        </w:tc>
        <w:tc>
          <w:tcPr>
            <w:tcW w:w="372" w:type="dxa"/>
            <w:vMerge w:val="continue"/>
            <w:noWrap w:val="0"/>
            <w:vAlign w:val="center"/>
          </w:tcPr>
          <w:p w14:paraId="04B48E1C">
            <w:pPr>
              <w:autoSpaceDE/>
              <w:autoSpaceDN/>
              <w:jc w:val="center"/>
              <w:rPr>
                <w:rFonts w:hint="eastAsia" w:asciiTheme="minorEastAsia" w:hAnsiTheme="minorEastAsia" w:eastAsiaTheme="minorEastAsia" w:cstheme="minorEastAsia"/>
                <w:b w:val="0"/>
                <w:bCs w:val="0"/>
                <w:sz w:val="18"/>
                <w:szCs w:val="18"/>
              </w:rPr>
            </w:pPr>
          </w:p>
        </w:tc>
        <w:tc>
          <w:tcPr>
            <w:tcW w:w="971" w:type="dxa"/>
            <w:noWrap w:val="0"/>
            <w:vAlign w:val="center"/>
          </w:tcPr>
          <w:p w14:paraId="36334696">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扫码</w:t>
            </w:r>
          </w:p>
          <w:p w14:paraId="7EC8A40A">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测水</w:t>
            </w:r>
          </w:p>
        </w:tc>
        <w:tc>
          <w:tcPr>
            <w:tcW w:w="729" w:type="dxa"/>
            <w:noWrap w:val="0"/>
            <w:vAlign w:val="center"/>
          </w:tcPr>
          <w:p w14:paraId="2E0BC514">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抽样</w:t>
            </w:r>
          </w:p>
        </w:tc>
        <w:tc>
          <w:tcPr>
            <w:tcW w:w="922" w:type="dxa"/>
            <w:noWrap w:val="0"/>
            <w:vAlign w:val="center"/>
          </w:tcPr>
          <w:p w14:paraId="4D3A8745">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样品</w:t>
            </w:r>
          </w:p>
          <w:p w14:paraId="69789A4C">
            <w:pPr>
              <w:autoSpaceDE/>
              <w:autoSpaceDN/>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运输</w:t>
            </w:r>
          </w:p>
        </w:tc>
        <w:tc>
          <w:tcPr>
            <w:tcW w:w="920" w:type="dxa"/>
            <w:vMerge w:val="continue"/>
            <w:noWrap w:val="0"/>
            <w:vAlign w:val="center"/>
          </w:tcPr>
          <w:p w14:paraId="253AAABB">
            <w:pPr>
              <w:autoSpaceDE/>
              <w:autoSpaceDN/>
              <w:jc w:val="center"/>
              <w:rPr>
                <w:rFonts w:hint="eastAsia" w:asciiTheme="minorEastAsia" w:hAnsiTheme="minorEastAsia" w:eastAsiaTheme="minorEastAsia" w:cstheme="minorEastAsia"/>
                <w:sz w:val="18"/>
                <w:szCs w:val="18"/>
              </w:rPr>
            </w:pPr>
          </w:p>
        </w:tc>
        <w:tc>
          <w:tcPr>
            <w:tcW w:w="883" w:type="dxa"/>
            <w:vMerge w:val="continue"/>
            <w:noWrap w:val="0"/>
            <w:vAlign w:val="center"/>
          </w:tcPr>
          <w:p w14:paraId="62617028">
            <w:pPr>
              <w:autoSpaceDE/>
              <w:autoSpaceDN/>
              <w:jc w:val="center"/>
              <w:rPr>
                <w:rFonts w:hint="eastAsia" w:asciiTheme="minorEastAsia" w:hAnsiTheme="minorEastAsia" w:eastAsiaTheme="minorEastAsia" w:cstheme="minorEastAsia"/>
                <w:sz w:val="18"/>
                <w:szCs w:val="18"/>
              </w:rPr>
            </w:pPr>
          </w:p>
        </w:tc>
        <w:tc>
          <w:tcPr>
            <w:tcW w:w="907" w:type="dxa"/>
            <w:vMerge w:val="continue"/>
            <w:noWrap w:val="0"/>
            <w:vAlign w:val="center"/>
          </w:tcPr>
          <w:p w14:paraId="0A7E086D">
            <w:pPr>
              <w:autoSpaceDE/>
              <w:autoSpaceDN/>
              <w:jc w:val="center"/>
              <w:rPr>
                <w:rFonts w:hint="eastAsia" w:asciiTheme="minorEastAsia" w:hAnsiTheme="minorEastAsia" w:eastAsiaTheme="minorEastAsia" w:cstheme="minorEastAsia"/>
                <w:sz w:val="18"/>
                <w:szCs w:val="18"/>
              </w:rPr>
            </w:pPr>
          </w:p>
        </w:tc>
      </w:tr>
      <w:tr w14:paraId="67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4" w:type="dxa"/>
            <w:vMerge w:val="restart"/>
            <w:noWrap w:val="0"/>
            <w:vAlign w:val="center"/>
          </w:tcPr>
          <w:p w14:paraId="26F4081F">
            <w:pPr>
              <w:autoSpaceDE/>
              <w:autoSpaceDN/>
              <w:spacing w:line="240" w:lineRule="auto"/>
              <w:jc w:val="both"/>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春秋</w:t>
            </w:r>
          </w:p>
          <w:p w14:paraId="1523D68F">
            <w:pPr>
              <w:autoSpaceDE/>
              <w:autoSpaceDN/>
              <w:spacing w:line="240" w:lineRule="auto"/>
              <w:jc w:val="both"/>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季节</w:t>
            </w:r>
          </w:p>
        </w:tc>
        <w:tc>
          <w:tcPr>
            <w:tcW w:w="1695" w:type="dxa"/>
            <w:shd w:val="clear" w:color="auto" w:fill="auto"/>
            <w:noWrap w:val="0"/>
            <w:vAlign w:val="center"/>
          </w:tcPr>
          <w:p w14:paraId="655EF987">
            <w:pPr>
              <w:autoSpaceDE/>
              <w:autoSpaceDN/>
              <w:spacing w:line="240" w:lineRule="auto"/>
              <w:jc w:val="both"/>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lang w:val="en-US" w:eastAsia="zh-CN"/>
              </w:rPr>
              <w:t>工装马甲（春秋）</w:t>
            </w:r>
          </w:p>
        </w:tc>
        <w:tc>
          <w:tcPr>
            <w:tcW w:w="372" w:type="dxa"/>
            <w:noWrap w:val="0"/>
            <w:vAlign w:val="center"/>
          </w:tcPr>
          <w:p w14:paraId="56F7B3F5">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59A2A65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6BA05A6D">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1C3A8B5F">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2F9A0FA2">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53453FCA">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36B98687">
            <w:pPr>
              <w:autoSpaceDE/>
              <w:autoSpaceDN/>
              <w:jc w:val="center"/>
              <w:rPr>
                <w:rFonts w:hint="eastAsia" w:asciiTheme="minorEastAsia" w:hAnsiTheme="minorEastAsia" w:eastAsiaTheme="minorEastAsia" w:cstheme="minorEastAsia"/>
                <w:sz w:val="18"/>
                <w:szCs w:val="18"/>
              </w:rPr>
            </w:pPr>
          </w:p>
        </w:tc>
      </w:tr>
      <w:tr w14:paraId="3A24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14" w:type="dxa"/>
            <w:vMerge w:val="continue"/>
            <w:noWrap w:val="0"/>
            <w:vAlign w:val="center"/>
          </w:tcPr>
          <w:p w14:paraId="66483C2E">
            <w:pPr>
              <w:autoSpaceDE/>
              <w:autoSpaceDN/>
              <w:spacing w:line="240" w:lineRule="auto"/>
              <w:jc w:val="both"/>
              <w:rPr>
                <w:rFonts w:hint="default"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5BC55215">
            <w:pPr>
              <w:autoSpaceDE/>
              <w:autoSpaceDN/>
              <w:spacing w:line="240" w:lineRule="auto"/>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rPr>
              <w:t>工作服</w:t>
            </w:r>
            <w:r>
              <w:rPr>
                <w:rFonts w:hint="eastAsia" w:asciiTheme="minorEastAsia" w:hAnsiTheme="minorEastAsia" w:eastAsiaTheme="minorEastAsia" w:cstheme="minorEastAsia"/>
                <w:b w:val="0"/>
                <w:bCs w:val="0"/>
                <w:sz w:val="18"/>
                <w:szCs w:val="18"/>
                <w:lang w:eastAsia="zh-CN"/>
              </w:rPr>
              <w:t>（</w:t>
            </w:r>
            <w:r>
              <w:rPr>
                <w:rFonts w:hint="eastAsia" w:asciiTheme="minorEastAsia" w:hAnsiTheme="minorEastAsia" w:eastAsiaTheme="minorEastAsia" w:cstheme="minorEastAsia"/>
                <w:b w:val="0"/>
                <w:bCs w:val="0"/>
                <w:sz w:val="18"/>
                <w:szCs w:val="18"/>
              </w:rPr>
              <w:t>春秋）</w:t>
            </w:r>
          </w:p>
        </w:tc>
        <w:tc>
          <w:tcPr>
            <w:tcW w:w="372" w:type="dxa"/>
            <w:noWrap w:val="0"/>
            <w:vAlign w:val="center"/>
          </w:tcPr>
          <w:p w14:paraId="1C9B6FE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652559FC">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33ABA6C8">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0479BBCB">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415F0D3E">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439315B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3A5B81B3">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4E87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14" w:type="dxa"/>
            <w:vMerge w:val="restart"/>
            <w:noWrap w:val="0"/>
            <w:vAlign w:val="center"/>
          </w:tcPr>
          <w:p w14:paraId="05EF2B9F">
            <w:pPr>
              <w:autoSpaceDE/>
              <w:autoSpaceDN/>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冬季</w:t>
            </w:r>
          </w:p>
        </w:tc>
        <w:tc>
          <w:tcPr>
            <w:tcW w:w="1695" w:type="dxa"/>
            <w:shd w:val="clear" w:color="auto" w:fill="auto"/>
            <w:noWrap w:val="0"/>
            <w:vAlign w:val="center"/>
          </w:tcPr>
          <w:p w14:paraId="55DDB08A">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rPr>
              <w:t>防寒服</w:t>
            </w:r>
          </w:p>
        </w:tc>
        <w:tc>
          <w:tcPr>
            <w:tcW w:w="372" w:type="dxa"/>
            <w:noWrap w:val="0"/>
            <w:vAlign w:val="center"/>
          </w:tcPr>
          <w:p w14:paraId="1F3FD17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75A9CF9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012F5AE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5974B84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3ADF2AE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7A94C94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6F5F846E">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07E4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7F8DF5F4">
            <w:pPr>
              <w:autoSpaceDE/>
              <w:autoSpaceDN/>
              <w:spacing w:line="240" w:lineRule="auto"/>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4E5F2B28">
            <w:pPr>
              <w:autoSpaceDE/>
              <w:autoSpaceDN/>
              <w:spacing w:line="240" w:lineRule="auto"/>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防滑</w:t>
            </w:r>
            <w:r>
              <w:rPr>
                <w:rFonts w:hint="eastAsia" w:asciiTheme="minorEastAsia" w:hAnsiTheme="minorEastAsia" w:eastAsiaTheme="minorEastAsia" w:cstheme="minorEastAsia"/>
                <w:b w:val="0"/>
                <w:bCs w:val="0"/>
                <w:sz w:val="18"/>
                <w:szCs w:val="18"/>
              </w:rPr>
              <w:t>雪地靴</w:t>
            </w:r>
          </w:p>
        </w:tc>
        <w:tc>
          <w:tcPr>
            <w:tcW w:w="372" w:type="dxa"/>
            <w:noWrap w:val="0"/>
            <w:vAlign w:val="center"/>
          </w:tcPr>
          <w:p w14:paraId="3B200B08">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67572E8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218BDB1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536EF07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019A0BB8">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24B17ADE">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3A7C863D">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6EE2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51C11CD7">
            <w:pPr>
              <w:autoSpaceDE/>
              <w:autoSpaceDN/>
              <w:spacing w:line="240" w:lineRule="auto"/>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09D2FFEF">
            <w:pPr>
              <w:autoSpaceDE/>
              <w:autoSpaceDN/>
              <w:spacing w:line="240" w:lineRule="auto"/>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rPr>
              <w:t>防寒手套、帽子、口罩</w:t>
            </w:r>
          </w:p>
        </w:tc>
        <w:tc>
          <w:tcPr>
            <w:tcW w:w="372" w:type="dxa"/>
            <w:noWrap w:val="0"/>
            <w:vAlign w:val="center"/>
          </w:tcPr>
          <w:p w14:paraId="16DC709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414E507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595760A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26BA16D3">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0CC82B9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7F87E275">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4CE5C62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5E25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02988FC7">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2DC9997D">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塑胶手套</w:t>
            </w:r>
          </w:p>
        </w:tc>
        <w:tc>
          <w:tcPr>
            <w:tcW w:w="372" w:type="dxa"/>
            <w:noWrap w:val="0"/>
            <w:vAlign w:val="center"/>
          </w:tcPr>
          <w:p w14:paraId="5724B9B2">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691D7F6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120228A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3F6F894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3633E053">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22B11FB2">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52B9B78C">
            <w:pPr>
              <w:autoSpaceDE/>
              <w:autoSpaceDN/>
              <w:jc w:val="center"/>
              <w:rPr>
                <w:rFonts w:hint="eastAsia" w:asciiTheme="minorEastAsia" w:hAnsiTheme="minorEastAsia" w:eastAsiaTheme="minorEastAsia" w:cstheme="minorEastAsia"/>
                <w:sz w:val="18"/>
                <w:szCs w:val="18"/>
              </w:rPr>
            </w:pPr>
          </w:p>
        </w:tc>
      </w:tr>
      <w:tr w14:paraId="05CA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7E70DB1D">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29411770">
            <w:pPr>
              <w:autoSpaceDE/>
              <w:autoSpaceDN/>
              <w:spacing w:line="240" w:lineRule="auto"/>
              <w:jc w:val="center"/>
              <w:rPr>
                <w:rFonts w:hint="default"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工装马甲（冬）</w:t>
            </w:r>
          </w:p>
        </w:tc>
        <w:tc>
          <w:tcPr>
            <w:tcW w:w="372" w:type="dxa"/>
            <w:noWrap w:val="0"/>
            <w:vAlign w:val="center"/>
          </w:tcPr>
          <w:p w14:paraId="1183AC27">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4E34567C">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11B95B1B">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30BB5825">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3EBC9BBA">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32A0C640">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2390FC38">
            <w:pPr>
              <w:autoSpaceDE/>
              <w:autoSpaceDN/>
              <w:jc w:val="center"/>
              <w:rPr>
                <w:rFonts w:hint="eastAsia" w:asciiTheme="minorEastAsia" w:hAnsiTheme="minorEastAsia" w:eastAsiaTheme="minorEastAsia" w:cstheme="minorEastAsia"/>
                <w:sz w:val="18"/>
                <w:szCs w:val="18"/>
              </w:rPr>
            </w:pPr>
          </w:p>
        </w:tc>
      </w:tr>
      <w:tr w14:paraId="232C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shd w:val="clear" w:color="auto" w:fill="auto"/>
            <w:noWrap w:val="0"/>
            <w:vAlign w:val="center"/>
          </w:tcPr>
          <w:p w14:paraId="0884C067">
            <w:pPr>
              <w:autoSpaceDE/>
              <w:autoSpaceDN/>
              <w:jc w:val="center"/>
              <w:rPr>
                <w:rFonts w:hint="default" w:asciiTheme="minorEastAsia" w:hAnsiTheme="minorEastAsia" w:eastAsiaTheme="minorEastAsia" w:cstheme="minorEastAsia"/>
                <w:b w:val="0"/>
                <w:bCs w:val="0"/>
                <w:snapToGrid w:val="0"/>
                <w:color w:val="000000"/>
                <w:kern w:val="0"/>
                <w:sz w:val="18"/>
                <w:szCs w:val="18"/>
                <w:lang w:val="en-US" w:eastAsia="zh-CN" w:bidi="ar-SA"/>
              </w:rPr>
            </w:pPr>
          </w:p>
        </w:tc>
        <w:tc>
          <w:tcPr>
            <w:tcW w:w="1695" w:type="dxa"/>
            <w:shd w:val="clear" w:color="auto" w:fill="auto"/>
            <w:noWrap w:val="0"/>
            <w:vAlign w:val="center"/>
          </w:tcPr>
          <w:p w14:paraId="262D37ED">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rPr>
              <w:t>防风护膝</w:t>
            </w:r>
          </w:p>
        </w:tc>
        <w:tc>
          <w:tcPr>
            <w:tcW w:w="372" w:type="dxa"/>
            <w:shd w:val="clear" w:color="auto" w:fill="auto"/>
            <w:noWrap w:val="0"/>
            <w:vAlign w:val="center"/>
          </w:tcPr>
          <w:p w14:paraId="0168C9F9">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971" w:type="dxa"/>
            <w:shd w:val="clear" w:color="auto" w:fill="auto"/>
            <w:noWrap w:val="0"/>
            <w:vAlign w:val="center"/>
          </w:tcPr>
          <w:p w14:paraId="22C39BE4">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729" w:type="dxa"/>
            <w:shd w:val="clear" w:color="auto" w:fill="auto"/>
            <w:noWrap w:val="0"/>
            <w:vAlign w:val="center"/>
          </w:tcPr>
          <w:p w14:paraId="01554035">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922" w:type="dxa"/>
            <w:shd w:val="clear" w:color="auto" w:fill="auto"/>
            <w:noWrap w:val="0"/>
            <w:vAlign w:val="center"/>
          </w:tcPr>
          <w:p w14:paraId="0B9A1B32">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920" w:type="dxa"/>
            <w:shd w:val="clear" w:color="auto" w:fill="auto"/>
            <w:noWrap w:val="0"/>
            <w:vAlign w:val="center"/>
          </w:tcPr>
          <w:p w14:paraId="6172478D">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883" w:type="dxa"/>
            <w:shd w:val="clear" w:color="auto" w:fill="auto"/>
            <w:noWrap w:val="0"/>
            <w:vAlign w:val="center"/>
          </w:tcPr>
          <w:p w14:paraId="5680E30D">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907" w:type="dxa"/>
            <w:shd w:val="clear" w:color="auto" w:fill="auto"/>
            <w:noWrap w:val="0"/>
            <w:vAlign w:val="center"/>
          </w:tcPr>
          <w:p w14:paraId="0476731E">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r>
      <w:tr w14:paraId="7E8A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shd w:val="clear" w:color="auto" w:fill="auto"/>
            <w:noWrap w:val="0"/>
            <w:vAlign w:val="center"/>
          </w:tcPr>
          <w:p w14:paraId="692400ED">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p>
        </w:tc>
        <w:tc>
          <w:tcPr>
            <w:tcW w:w="1695" w:type="dxa"/>
            <w:shd w:val="clear" w:color="auto" w:fill="auto"/>
            <w:noWrap w:val="0"/>
            <w:vAlign w:val="center"/>
          </w:tcPr>
          <w:p w14:paraId="2B839CC3">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防砸棉</w:t>
            </w:r>
            <w:r>
              <w:rPr>
                <w:rFonts w:hint="eastAsia" w:asciiTheme="minorEastAsia" w:hAnsiTheme="minorEastAsia" w:eastAsiaTheme="minorEastAsia" w:cstheme="minorEastAsia"/>
                <w:b w:val="0"/>
                <w:bCs w:val="0"/>
                <w:sz w:val="18"/>
                <w:szCs w:val="18"/>
              </w:rPr>
              <w:t>安全帽</w:t>
            </w:r>
          </w:p>
        </w:tc>
        <w:tc>
          <w:tcPr>
            <w:tcW w:w="372" w:type="dxa"/>
            <w:shd w:val="clear" w:color="auto" w:fill="auto"/>
            <w:noWrap w:val="0"/>
            <w:vAlign w:val="center"/>
          </w:tcPr>
          <w:p w14:paraId="45F77CD9">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971" w:type="dxa"/>
            <w:shd w:val="clear" w:color="auto" w:fill="auto"/>
            <w:noWrap w:val="0"/>
            <w:vAlign w:val="center"/>
          </w:tcPr>
          <w:p w14:paraId="48AA3A54">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729" w:type="dxa"/>
            <w:shd w:val="clear" w:color="auto" w:fill="auto"/>
            <w:noWrap w:val="0"/>
            <w:vAlign w:val="center"/>
          </w:tcPr>
          <w:p w14:paraId="157BD203">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922" w:type="dxa"/>
            <w:shd w:val="clear" w:color="auto" w:fill="auto"/>
            <w:noWrap w:val="0"/>
            <w:vAlign w:val="center"/>
          </w:tcPr>
          <w:p w14:paraId="2D5CDC34">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920" w:type="dxa"/>
            <w:shd w:val="clear" w:color="auto" w:fill="auto"/>
            <w:noWrap w:val="0"/>
            <w:vAlign w:val="center"/>
          </w:tcPr>
          <w:p w14:paraId="58746537">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883" w:type="dxa"/>
            <w:shd w:val="clear" w:color="auto" w:fill="auto"/>
            <w:noWrap w:val="0"/>
            <w:vAlign w:val="center"/>
          </w:tcPr>
          <w:p w14:paraId="2FDD70BA">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c>
          <w:tcPr>
            <w:tcW w:w="907" w:type="dxa"/>
            <w:shd w:val="clear" w:color="auto" w:fill="auto"/>
            <w:noWrap w:val="0"/>
            <w:vAlign w:val="center"/>
          </w:tcPr>
          <w:p w14:paraId="1E33A01B">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p>
        </w:tc>
      </w:tr>
      <w:tr w14:paraId="5B2F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shd w:val="clear" w:color="auto" w:fill="auto"/>
            <w:noWrap w:val="0"/>
            <w:vAlign w:val="center"/>
          </w:tcPr>
          <w:p w14:paraId="6C613F69">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p>
        </w:tc>
        <w:tc>
          <w:tcPr>
            <w:tcW w:w="1695" w:type="dxa"/>
            <w:shd w:val="clear" w:color="auto" w:fill="auto"/>
            <w:noWrap w:val="0"/>
            <w:vAlign w:val="center"/>
          </w:tcPr>
          <w:p w14:paraId="224B6627">
            <w:pPr>
              <w:autoSpaceDE/>
              <w:autoSpaceDN/>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保温水壶</w:t>
            </w:r>
          </w:p>
        </w:tc>
        <w:tc>
          <w:tcPr>
            <w:tcW w:w="372" w:type="dxa"/>
            <w:shd w:val="clear" w:color="auto" w:fill="auto"/>
            <w:noWrap w:val="0"/>
            <w:vAlign w:val="center"/>
          </w:tcPr>
          <w:p w14:paraId="12BDA03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shd w:val="clear" w:color="auto" w:fill="auto"/>
            <w:noWrap w:val="0"/>
            <w:vAlign w:val="center"/>
          </w:tcPr>
          <w:p w14:paraId="57200B87">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shd w:val="clear" w:color="auto" w:fill="auto"/>
            <w:noWrap w:val="0"/>
            <w:vAlign w:val="center"/>
          </w:tcPr>
          <w:p w14:paraId="3F666979">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shd w:val="clear" w:color="auto" w:fill="auto"/>
            <w:noWrap w:val="0"/>
            <w:vAlign w:val="center"/>
          </w:tcPr>
          <w:p w14:paraId="17950087">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shd w:val="clear" w:color="auto" w:fill="auto"/>
            <w:noWrap w:val="0"/>
            <w:vAlign w:val="center"/>
          </w:tcPr>
          <w:p w14:paraId="73E7AF7E">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883" w:type="dxa"/>
            <w:shd w:val="clear" w:color="auto" w:fill="auto"/>
            <w:noWrap w:val="0"/>
            <w:vAlign w:val="center"/>
          </w:tcPr>
          <w:p w14:paraId="471229B5">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c>
          <w:tcPr>
            <w:tcW w:w="907" w:type="dxa"/>
            <w:shd w:val="clear" w:color="auto" w:fill="auto"/>
            <w:noWrap w:val="0"/>
            <w:vAlign w:val="center"/>
          </w:tcPr>
          <w:p w14:paraId="57DE4713">
            <w:pPr>
              <w:autoSpaceDE/>
              <w:autoSpaceDN/>
              <w:jc w:val="center"/>
              <w:rPr>
                <w:rFonts w:hint="eastAsia" w:asciiTheme="minorEastAsia" w:hAnsiTheme="minorEastAsia" w:eastAsiaTheme="minorEastAsia" w:cstheme="minorEastAsia"/>
                <w:snapToGrid w:val="0"/>
                <w:color w:val="000000"/>
                <w:kern w:val="0"/>
                <w:sz w:val="18"/>
                <w:szCs w:val="18"/>
                <w:lang w:val="en-US" w:eastAsia="en-US" w:bidi="ar-SA"/>
              </w:rPr>
            </w:pPr>
            <w:r>
              <w:rPr>
                <w:rFonts w:hint="eastAsia" w:asciiTheme="minorEastAsia" w:hAnsiTheme="minorEastAsia" w:eastAsiaTheme="minorEastAsia" w:cstheme="minorEastAsia"/>
                <w:sz w:val="18"/>
                <w:szCs w:val="18"/>
              </w:rPr>
              <w:t>√</w:t>
            </w:r>
          </w:p>
        </w:tc>
      </w:tr>
      <w:tr w14:paraId="7424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restart"/>
            <w:noWrap w:val="0"/>
            <w:vAlign w:val="center"/>
          </w:tcPr>
          <w:p w14:paraId="78A509D9">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夏季</w:t>
            </w:r>
          </w:p>
        </w:tc>
        <w:tc>
          <w:tcPr>
            <w:tcW w:w="1695" w:type="dxa"/>
            <w:shd w:val="clear" w:color="auto" w:fill="auto"/>
            <w:noWrap w:val="0"/>
            <w:vAlign w:val="center"/>
          </w:tcPr>
          <w:p w14:paraId="10502C90">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防晒面罩</w:t>
            </w:r>
          </w:p>
        </w:tc>
        <w:tc>
          <w:tcPr>
            <w:tcW w:w="372" w:type="dxa"/>
            <w:noWrap w:val="0"/>
            <w:vAlign w:val="center"/>
          </w:tcPr>
          <w:p w14:paraId="4B96D52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42A6CBA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3D90F53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7A96F75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1E34515E">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1B83CEB3">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6A6F97B9">
            <w:pPr>
              <w:autoSpaceDE/>
              <w:autoSpaceDN/>
              <w:jc w:val="center"/>
              <w:rPr>
                <w:rFonts w:hint="eastAsia" w:asciiTheme="minorEastAsia" w:hAnsiTheme="minorEastAsia" w:eastAsiaTheme="minorEastAsia" w:cstheme="minorEastAsia"/>
                <w:sz w:val="18"/>
                <w:szCs w:val="18"/>
              </w:rPr>
            </w:pPr>
          </w:p>
        </w:tc>
      </w:tr>
      <w:tr w14:paraId="2750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1DB1CD21">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2FEC9CAF">
            <w:pPr>
              <w:autoSpaceDE/>
              <w:autoSpaceDN/>
              <w:spacing w:line="240" w:lineRule="auto"/>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夏季降温服</w:t>
            </w:r>
          </w:p>
        </w:tc>
        <w:tc>
          <w:tcPr>
            <w:tcW w:w="372" w:type="dxa"/>
            <w:noWrap w:val="0"/>
            <w:vAlign w:val="center"/>
          </w:tcPr>
          <w:p w14:paraId="4C51224E">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446573C7">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7C5A4608">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0080E2C5">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189038EB">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7DD9E9B6">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1239DB13">
            <w:pPr>
              <w:autoSpaceDE/>
              <w:autoSpaceDN/>
              <w:jc w:val="center"/>
              <w:rPr>
                <w:rFonts w:hint="eastAsia" w:asciiTheme="minorEastAsia" w:hAnsiTheme="minorEastAsia" w:eastAsiaTheme="minorEastAsia" w:cstheme="minorEastAsia"/>
                <w:sz w:val="18"/>
                <w:szCs w:val="18"/>
              </w:rPr>
            </w:pPr>
          </w:p>
        </w:tc>
      </w:tr>
      <w:tr w14:paraId="150C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restart"/>
            <w:noWrap w:val="0"/>
            <w:vAlign w:val="center"/>
          </w:tcPr>
          <w:p w14:paraId="477325DB">
            <w:pPr>
              <w:autoSpaceDE/>
              <w:autoSpaceDN/>
              <w:spacing w:line="240" w:lineRule="auto"/>
              <w:jc w:val="center"/>
              <w:rPr>
                <w:rFonts w:hint="eastAsia"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基础</w:t>
            </w:r>
          </w:p>
          <w:p w14:paraId="18C915A4">
            <w:pPr>
              <w:autoSpaceDE/>
              <w:autoSpaceDN/>
              <w:spacing w:line="240" w:lineRule="auto"/>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配置</w:t>
            </w:r>
          </w:p>
        </w:tc>
        <w:tc>
          <w:tcPr>
            <w:tcW w:w="1695" w:type="dxa"/>
            <w:shd w:val="clear" w:color="auto" w:fill="auto"/>
            <w:noWrap w:val="0"/>
            <w:vAlign w:val="center"/>
          </w:tcPr>
          <w:p w14:paraId="78B4CBE0">
            <w:pPr>
              <w:autoSpaceDE/>
              <w:autoSpaceDN/>
              <w:spacing w:line="240" w:lineRule="auto"/>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防粘棉工作服</w:t>
            </w:r>
          </w:p>
        </w:tc>
        <w:tc>
          <w:tcPr>
            <w:tcW w:w="372" w:type="dxa"/>
            <w:noWrap w:val="0"/>
            <w:vAlign w:val="center"/>
          </w:tcPr>
          <w:p w14:paraId="1A817CE9">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6B0BC8F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2D355AE2">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0180C36B">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18E253A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3E1571A5">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39228B1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4185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14" w:type="dxa"/>
            <w:vMerge w:val="continue"/>
            <w:noWrap w:val="0"/>
            <w:vAlign w:val="center"/>
          </w:tcPr>
          <w:p w14:paraId="56ECF466">
            <w:pPr>
              <w:autoSpaceDE/>
              <w:autoSpaceDN/>
              <w:jc w:val="center"/>
              <w:rPr>
                <w:rFonts w:hint="default"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244D6FB4">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防护袖套</w:t>
            </w:r>
          </w:p>
        </w:tc>
        <w:tc>
          <w:tcPr>
            <w:tcW w:w="372" w:type="dxa"/>
            <w:noWrap w:val="0"/>
            <w:vAlign w:val="center"/>
          </w:tcPr>
          <w:p w14:paraId="55C1B42B">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3463BCE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2BA5B18A">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0C2C94B5">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66DD8601">
            <w:pPr>
              <w:autoSpaceDE/>
              <w:autoSpaceDN/>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 xml:space="preserve"> </w:t>
            </w:r>
          </w:p>
        </w:tc>
        <w:tc>
          <w:tcPr>
            <w:tcW w:w="883" w:type="dxa"/>
            <w:noWrap w:val="0"/>
            <w:vAlign w:val="center"/>
          </w:tcPr>
          <w:p w14:paraId="5161E3EA">
            <w:pPr>
              <w:autoSpaceDE/>
              <w:autoSpaceDN/>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 xml:space="preserve"> </w:t>
            </w:r>
          </w:p>
        </w:tc>
        <w:tc>
          <w:tcPr>
            <w:tcW w:w="907" w:type="dxa"/>
            <w:noWrap w:val="0"/>
            <w:vAlign w:val="center"/>
          </w:tcPr>
          <w:p w14:paraId="247DFCB7">
            <w:pPr>
              <w:autoSpaceDE/>
              <w:autoSpaceDN/>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 xml:space="preserve"> </w:t>
            </w:r>
          </w:p>
        </w:tc>
      </w:tr>
      <w:tr w14:paraId="5A41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14" w:type="dxa"/>
            <w:vMerge w:val="continue"/>
            <w:noWrap w:val="0"/>
            <w:vAlign w:val="center"/>
          </w:tcPr>
          <w:p w14:paraId="218C7CEA">
            <w:pPr>
              <w:autoSpaceDE/>
              <w:autoSpaceDN/>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2CA2D9C7">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rPr>
              <w:t>一次性防尘口罩</w:t>
            </w:r>
          </w:p>
        </w:tc>
        <w:tc>
          <w:tcPr>
            <w:tcW w:w="372" w:type="dxa"/>
            <w:noWrap w:val="0"/>
            <w:vAlign w:val="center"/>
          </w:tcPr>
          <w:p w14:paraId="11C52DA7">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71" w:type="dxa"/>
            <w:noWrap w:val="0"/>
            <w:vAlign w:val="center"/>
          </w:tcPr>
          <w:p w14:paraId="2A21B016">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16739848">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77D65C6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67891387">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10C99FE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07" w:type="dxa"/>
            <w:noWrap w:val="0"/>
            <w:vAlign w:val="center"/>
          </w:tcPr>
          <w:p w14:paraId="5D14C449">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7EDE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7C82BBA3">
            <w:pPr>
              <w:autoSpaceDE/>
              <w:autoSpaceDN/>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67F872C4">
            <w:pPr>
              <w:autoSpaceDE/>
              <w:autoSpaceDN/>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耳塞</w:t>
            </w:r>
          </w:p>
        </w:tc>
        <w:tc>
          <w:tcPr>
            <w:tcW w:w="372" w:type="dxa"/>
            <w:noWrap w:val="0"/>
            <w:vAlign w:val="center"/>
          </w:tcPr>
          <w:p w14:paraId="4768EFC9">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3B0D9ACB">
            <w:pPr>
              <w:autoSpaceDE/>
              <w:autoSpaceDN/>
              <w:jc w:val="center"/>
              <w:rPr>
                <w:rFonts w:hint="eastAsia" w:asciiTheme="minorEastAsia" w:hAnsiTheme="minorEastAsia" w:eastAsiaTheme="minorEastAsia" w:cstheme="minorEastAsia"/>
                <w:sz w:val="18"/>
                <w:szCs w:val="18"/>
              </w:rPr>
            </w:pPr>
          </w:p>
        </w:tc>
        <w:tc>
          <w:tcPr>
            <w:tcW w:w="729" w:type="dxa"/>
            <w:noWrap w:val="0"/>
            <w:vAlign w:val="center"/>
          </w:tcPr>
          <w:p w14:paraId="4C831F31">
            <w:pPr>
              <w:autoSpaceDE/>
              <w:autoSpaceDN/>
              <w:jc w:val="center"/>
              <w:rPr>
                <w:rFonts w:hint="eastAsia" w:asciiTheme="minorEastAsia" w:hAnsiTheme="minorEastAsia" w:eastAsiaTheme="minorEastAsia" w:cstheme="minorEastAsia"/>
                <w:sz w:val="18"/>
                <w:szCs w:val="18"/>
              </w:rPr>
            </w:pPr>
          </w:p>
        </w:tc>
        <w:tc>
          <w:tcPr>
            <w:tcW w:w="922" w:type="dxa"/>
            <w:noWrap w:val="0"/>
            <w:vAlign w:val="center"/>
          </w:tcPr>
          <w:p w14:paraId="3AEFA698">
            <w:pPr>
              <w:autoSpaceDE/>
              <w:autoSpaceDN/>
              <w:jc w:val="center"/>
              <w:rPr>
                <w:rFonts w:hint="eastAsia" w:asciiTheme="minorEastAsia" w:hAnsiTheme="minorEastAsia" w:eastAsiaTheme="minorEastAsia" w:cstheme="minorEastAsia"/>
                <w:sz w:val="18"/>
                <w:szCs w:val="18"/>
              </w:rPr>
            </w:pPr>
          </w:p>
        </w:tc>
        <w:tc>
          <w:tcPr>
            <w:tcW w:w="920" w:type="dxa"/>
            <w:noWrap w:val="0"/>
            <w:vAlign w:val="center"/>
          </w:tcPr>
          <w:p w14:paraId="531A7D7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883" w:type="dxa"/>
            <w:noWrap w:val="0"/>
            <w:vAlign w:val="center"/>
          </w:tcPr>
          <w:p w14:paraId="6CBA414E">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0F9A6ECD">
            <w:pPr>
              <w:autoSpaceDE/>
              <w:autoSpaceDN/>
              <w:jc w:val="center"/>
              <w:rPr>
                <w:rFonts w:hint="eastAsia" w:asciiTheme="minorEastAsia" w:hAnsiTheme="minorEastAsia" w:eastAsiaTheme="minorEastAsia" w:cstheme="minorEastAsia"/>
                <w:sz w:val="18"/>
                <w:szCs w:val="18"/>
              </w:rPr>
            </w:pPr>
          </w:p>
        </w:tc>
      </w:tr>
      <w:tr w14:paraId="70EF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4B68CC23">
            <w:pPr>
              <w:autoSpaceDE/>
              <w:autoSpaceDN/>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1E7F52A8">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对讲机</w:t>
            </w:r>
          </w:p>
        </w:tc>
        <w:tc>
          <w:tcPr>
            <w:tcW w:w="372" w:type="dxa"/>
            <w:noWrap w:val="0"/>
            <w:vAlign w:val="center"/>
          </w:tcPr>
          <w:p w14:paraId="21541726">
            <w:pPr>
              <w:autoSpaceDE/>
              <w:autoSpaceDN/>
              <w:jc w:val="center"/>
              <w:rPr>
                <w:rFonts w:hint="eastAsia" w:asciiTheme="minorEastAsia" w:hAnsiTheme="minorEastAsia" w:eastAsiaTheme="minorEastAsia" w:cstheme="minorEastAsia"/>
                <w:sz w:val="18"/>
                <w:szCs w:val="18"/>
              </w:rPr>
            </w:pPr>
          </w:p>
        </w:tc>
        <w:tc>
          <w:tcPr>
            <w:tcW w:w="971" w:type="dxa"/>
            <w:noWrap w:val="0"/>
            <w:vAlign w:val="center"/>
          </w:tcPr>
          <w:p w14:paraId="6EAFDB7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729" w:type="dxa"/>
            <w:noWrap w:val="0"/>
            <w:vAlign w:val="center"/>
          </w:tcPr>
          <w:p w14:paraId="277EB951">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2" w:type="dxa"/>
            <w:noWrap w:val="0"/>
            <w:vAlign w:val="center"/>
          </w:tcPr>
          <w:p w14:paraId="1B1E43E4">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12463C6C">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01104B5B">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1F1F5E4C">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r w14:paraId="5B8B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Merge w:val="continue"/>
            <w:noWrap w:val="0"/>
            <w:vAlign w:val="center"/>
          </w:tcPr>
          <w:p w14:paraId="2A2359A7">
            <w:pPr>
              <w:autoSpaceDE/>
              <w:autoSpaceDN/>
              <w:jc w:val="center"/>
              <w:rPr>
                <w:rFonts w:hint="eastAsia" w:asciiTheme="minorEastAsia" w:hAnsiTheme="minorEastAsia" w:eastAsiaTheme="minorEastAsia" w:cstheme="minorEastAsia"/>
                <w:b w:val="0"/>
                <w:bCs w:val="0"/>
                <w:sz w:val="18"/>
                <w:szCs w:val="18"/>
                <w:lang w:val="en-US" w:eastAsia="zh-CN"/>
              </w:rPr>
            </w:pPr>
          </w:p>
        </w:tc>
        <w:tc>
          <w:tcPr>
            <w:tcW w:w="1695" w:type="dxa"/>
            <w:shd w:val="clear" w:color="auto" w:fill="auto"/>
            <w:noWrap w:val="0"/>
            <w:vAlign w:val="center"/>
          </w:tcPr>
          <w:p w14:paraId="3FF9A8B1">
            <w:pPr>
              <w:autoSpaceDE/>
              <w:autoSpaceDN/>
              <w:jc w:val="center"/>
              <w:rPr>
                <w:rFonts w:hint="eastAsia" w:asciiTheme="minorEastAsia" w:hAnsiTheme="minorEastAsia" w:eastAsiaTheme="minorEastAsia" w:cstheme="minorEastAsia"/>
                <w:b w:val="0"/>
                <w:bCs w:val="0"/>
                <w:snapToGrid w:val="0"/>
                <w:color w:val="000000"/>
                <w:kern w:val="0"/>
                <w:sz w:val="18"/>
                <w:szCs w:val="18"/>
                <w:lang w:val="en-US" w:eastAsia="zh-CN" w:bidi="ar-SA"/>
              </w:rPr>
            </w:pPr>
            <w:r>
              <w:rPr>
                <w:rFonts w:hint="eastAsia" w:asciiTheme="minorEastAsia" w:hAnsiTheme="minorEastAsia" w:eastAsiaTheme="minorEastAsia" w:cstheme="minorEastAsia"/>
                <w:b w:val="0"/>
                <w:bCs w:val="0"/>
                <w:sz w:val="18"/>
                <w:szCs w:val="18"/>
                <w:lang w:val="en-US" w:eastAsia="zh-CN"/>
              </w:rPr>
              <w:t>户外简易帐篷</w:t>
            </w:r>
          </w:p>
        </w:tc>
        <w:tc>
          <w:tcPr>
            <w:tcW w:w="372" w:type="dxa"/>
            <w:noWrap w:val="0"/>
            <w:vAlign w:val="center"/>
          </w:tcPr>
          <w:p w14:paraId="718398A1">
            <w:pPr>
              <w:autoSpaceDE/>
              <w:autoSpaceDN/>
              <w:jc w:val="center"/>
              <w:rPr>
                <w:rFonts w:hint="eastAsia" w:asciiTheme="minorEastAsia" w:hAnsiTheme="minorEastAsia" w:eastAsiaTheme="minorEastAsia" w:cstheme="minorEastAsia"/>
                <w:sz w:val="18"/>
                <w:szCs w:val="18"/>
              </w:rPr>
            </w:pPr>
          </w:p>
        </w:tc>
        <w:tc>
          <w:tcPr>
            <w:tcW w:w="2622" w:type="dxa"/>
            <w:gridSpan w:val="3"/>
            <w:noWrap w:val="0"/>
            <w:vAlign w:val="center"/>
          </w:tcPr>
          <w:p w14:paraId="28EAEBD0">
            <w:pPr>
              <w:autoSpaceDE/>
              <w:autoSpaceDN/>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c>
          <w:tcPr>
            <w:tcW w:w="920" w:type="dxa"/>
            <w:noWrap w:val="0"/>
            <w:vAlign w:val="center"/>
          </w:tcPr>
          <w:p w14:paraId="12DC1197">
            <w:pPr>
              <w:autoSpaceDE/>
              <w:autoSpaceDN/>
              <w:jc w:val="center"/>
              <w:rPr>
                <w:rFonts w:hint="eastAsia" w:asciiTheme="minorEastAsia" w:hAnsiTheme="minorEastAsia" w:eastAsiaTheme="minorEastAsia" w:cstheme="minorEastAsia"/>
                <w:sz w:val="18"/>
                <w:szCs w:val="18"/>
              </w:rPr>
            </w:pPr>
          </w:p>
        </w:tc>
        <w:tc>
          <w:tcPr>
            <w:tcW w:w="883" w:type="dxa"/>
            <w:noWrap w:val="0"/>
            <w:vAlign w:val="center"/>
          </w:tcPr>
          <w:p w14:paraId="26AC9016">
            <w:pPr>
              <w:autoSpaceDE/>
              <w:autoSpaceDN/>
              <w:jc w:val="center"/>
              <w:rPr>
                <w:rFonts w:hint="eastAsia" w:asciiTheme="minorEastAsia" w:hAnsiTheme="minorEastAsia" w:eastAsiaTheme="minorEastAsia" w:cstheme="minorEastAsia"/>
                <w:sz w:val="18"/>
                <w:szCs w:val="18"/>
              </w:rPr>
            </w:pPr>
          </w:p>
        </w:tc>
        <w:tc>
          <w:tcPr>
            <w:tcW w:w="907" w:type="dxa"/>
            <w:noWrap w:val="0"/>
            <w:vAlign w:val="center"/>
          </w:tcPr>
          <w:p w14:paraId="66749C07">
            <w:pPr>
              <w:autoSpaceDE/>
              <w:autoSpaceDN/>
              <w:jc w:val="center"/>
              <w:rPr>
                <w:rFonts w:hint="eastAsia" w:asciiTheme="minorEastAsia" w:hAnsiTheme="minorEastAsia" w:eastAsiaTheme="minorEastAsia" w:cstheme="minorEastAsia"/>
                <w:sz w:val="18"/>
                <w:szCs w:val="18"/>
              </w:rPr>
            </w:pPr>
          </w:p>
        </w:tc>
      </w:tr>
      <w:tr w14:paraId="7DEF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3" w:type="dxa"/>
            <w:gridSpan w:val="9"/>
            <w:noWrap w:val="0"/>
            <w:vAlign w:val="center"/>
          </w:tcPr>
          <w:p w14:paraId="776772B4">
            <w:pPr>
              <w:pStyle w:val="3"/>
              <w:spacing w:line="240" w:lineRule="auto"/>
              <w:ind w:firstLine="0" w:firstLineChars="0"/>
              <w:jc w:val="both"/>
              <w:outlineLvl w:val="1"/>
              <w:rPr>
                <w:rFonts w:hint="eastAsia" w:asciiTheme="minorEastAsia" w:hAnsiTheme="minorEastAsia" w:eastAsiaTheme="minorEastAsia" w:cstheme="minorEastAsia"/>
                <w:spacing w:val="5"/>
                <w:sz w:val="18"/>
                <w:szCs w:val="18"/>
                <w:lang w:val="en-US" w:eastAsia="zh-CN"/>
              </w:rPr>
            </w:pPr>
            <w:r>
              <w:rPr>
                <w:rFonts w:hint="eastAsia"/>
                <w:spacing w:val="5"/>
                <w:sz w:val="18"/>
                <w:szCs w:val="18"/>
                <w:lang w:val="en-US" w:eastAsia="zh-CN"/>
              </w:rPr>
              <w:t>注</w:t>
            </w:r>
            <w:r>
              <w:rPr>
                <w:rFonts w:hint="eastAsia" w:asciiTheme="minorEastAsia" w:hAnsiTheme="minorEastAsia" w:eastAsiaTheme="minorEastAsia" w:cstheme="minorEastAsia"/>
                <w:spacing w:val="5"/>
                <w:sz w:val="18"/>
                <w:szCs w:val="18"/>
                <w:lang w:val="en-US" w:eastAsia="zh-CN"/>
              </w:rPr>
              <w:t>：应根据季节与仓库现场实际按需配置发放。</w:t>
            </w:r>
          </w:p>
          <w:p w14:paraId="20117A0A">
            <w:pPr>
              <w:autoSpaceDE/>
              <w:autoSpaceDN/>
              <w:jc w:val="center"/>
              <w:rPr>
                <w:rFonts w:hint="eastAsia" w:asciiTheme="minorEastAsia" w:hAnsiTheme="minorEastAsia" w:eastAsiaTheme="minorEastAsia" w:cstheme="minorEastAsia"/>
                <w:sz w:val="18"/>
                <w:szCs w:val="18"/>
              </w:rPr>
            </w:pPr>
          </w:p>
        </w:tc>
      </w:tr>
    </w:tbl>
    <w:p w14:paraId="31537E88">
      <w:pPr>
        <w:pStyle w:val="3"/>
        <w:spacing w:before="275" w:line="229" w:lineRule="auto"/>
        <w:jc w:val="center"/>
        <w:outlineLvl w:val="1"/>
        <w:rPr>
          <w:rFonts w:hint="eastAsia"/>
          <w:spacing w:val="5"/>
          <w:sz w:val="20"/>
          <w:szCs w:val="20"/>
          <w:lang w:val="en-US" w:eastAsia="zh-CN"/>
        </w:rPr>
      </w:pPr>
    </w:p>
    <w:p w14:paraId="49295DF8">
      <w:pPr>
        <w:pStyle w:val="3"/>
        <w:spacing w:before="275" w:line="229" w:lineRule="auto"/>
        <w:jc w:val="center"/>
        <w:outlineLvl w:val="1"/>
        <w:rPr>
          <w:rFonts w:hint="eastAsia"/>
          <w:spacing w:val="5"/>
          <w:sz w:val="20"/>
          <w:szCs w:val="20"/>
          <w:lang w:val="en-US" w:eastAsia="zh-CN"/>
        </w:rPr>
      </w:pPr>
    </w:p>
    <w:p w14:paraId="32C34F80">
      <w:pPr>
        <w:pStyle w:val="3"/>
        <w:spacing w:before="275" w:line="229" w:lineRule="auto"/>
        <w:jc w:val="center"/>
        <w:outlineLvl w:val="1"/>
        <w:rPr>
          <w:rFonts w:hint="eastAsia"/>
          <w:spacing w:val="5"/>
          <w:sz w:val="20"/>
          <w:szCs w:val="20"/>
          <w:lang w:val="en-US" w:eastAsia="zh-CN"/>
        </w:rPr>
      </w:pPr>
    </w:p>
    <w:p w14:paraId="6EE232DA">
      <w:pPr>
        <w:pStyle w:val="3"/>
        <w:spacing w:before="275" w:line="229" w:lineRule="auto"/>
        <w:jc w:val="center"/>
        <w:outlineLvl w:val="1"/>
        <w:rPr>
          <w:rFonts w:hint="eastAsia"/>
          <w:spacing w:val="5"/>
          <w:sz w:val="20"/>
          <w:szCs w:val="20"/>
          <w:lang w:val="en-US" w:eastAsia="zh-CN"/>
        </w:rPr>
      </w:pPr>
    </w:p>
    <w:p w14:paraId="6C98A7F5">
      <w:pPr>
        <w:pStyle w:val="3"/>
        <w:spacing w:before="275" w:line="229" w:lineRule="auto"/>
        <w:jc w:val="center"/>
        <w:outlineLvl w:val="1"/>
        <w:rPr>
          <w:rFonts w:hint="eastAsia"/>
          <w:spacing w:val="5"/>
          <w:sz w:val="20"/>
          <w:szCs w:val="20"/>
          <w:lang w:val="en-US" w:eastAsia="zh-CN"/>
        </w:rPr>
      </w:pPr>
    </w:p>
    <w:p w14:paraId="57963196">
      <w:pPr>
        <w:pStyle w:val="3"/>
        <w:spacing w:before="275" w:line="229" w:lineRule="auto"/>
        <w:jc w:val="center"/>
        <w:outlineLvl w:val="1"/>
        <w:rPr>
          <w:rFonts w:hint="eastAsia"/>
          <w:spacing w:val="5"/>
          <w:sz w:val="20"/>
          <w:szCs w:val="20"/>
          <w:lang w:val="en-US" w:eastAsia="zh-CN"/>
        </w:rPr>
      </w:pPr>
    </w:p>
    <w:p w14:paraId="4BCE328D">
      <w:pPr>
        <w:pStyle w:val="3"/>
        <w:spacing w:before="275" w:line="229" w:lineRule="auto"/>
        <w:jc w:val="center"/>
        <w:outlineLvl w:val="1"/>
        <w:rPr>
          <w:rFonts w:hint="eastAsia"/>
          <w:spacing w:val="5"/>
          <w:sz w:val="20"/>
          <w:szCs w:val="20"/>
          <w:lang w:val="en-US" w:eastAsia="zh-CN"/>
        </w:rPr>
      </w:pPr>
    </w:p>
    <w:p w14:paraId="385DBCCE">
      <w:pPr>
        <w:pStyle w:val="3"/>
        <w:spacing w:before="275" w:line="229" w:lineRule="auto"/>
        <w:jc w:val="left"/>
        <w:outlineLvl w:val="1"/>
        <w:rPr>
          <w:rFonts w:hint="eastAsia"/>
          <w:spacing w:val="5"/>
          <w:sz w:val="20"/>
          <w:szCs w:val="20"/>
          <w:lang w:val="en-US" w:eastAsia="zh-CN"/>
        </w:rPr>
      </w:pPr>
    </w:p>
    <w:p w14:paraId="49F4EBB4">
      <w:pPr>
        <w:pStyle w:val="3"/>
        <w:spacing w:before="275" w:line="229" w:lineRule="auto"/>
        <w:jc w:val="left"/>
        <w:outlineLvl w:val="1"/>
        <w:rPr>
          <w:rFonts w:hint="eastAsia"/>
          <w:spacing w:val="5"/>
          <w:sz w:val="20"/>
          <w:szCs w:val="20"/>
          <w:lang w:val="en-US" w:eastAsia="zh-CN"/>
        </w:rPr>
      </w:pPr>
    </w:p>
    <w:p w14:paraId="6AB6AD8C">
      <w:pPr>
        <w:pStyle w:val="3"/>
        <w:spacing w:before="275" w:line="229" w:lineRule="auto"/>
        <w:jc w:val="center"/>
        <w:outlineLvl w:val="1"/>
        <w:rPr>
          <w:rFonts w:hint="eastAsia"/>
          <w:spacing w:val="5"/>
          <w:sz w:val="20"/>
          <w:szCs w:val="20"/>
          <w:lang w:val="en-US" w:eastAsia="zh-CN"/>
        </w:rPr>
      </w:pPr>
    </w:p>
    <w:p w14:paraId="54C8F435">
      <w:pPr>
        <w:spacing w:before="275" w:line="229" w:lineRule="auto"/>
        <w:jc w:val="center"/>
        <w:outlineLvl w:val="1"/>
        <w:rPr>
          <w:rFonts w:hint="eastAsia"/>
          <w:spacing w:val="5"/>
          <w:sz w:val="20"/>
          <w:szCs w:val="20"/>
          <w:lang w:val="en-US" w:eastAsia="zh-CN"/>
        </w:rPr>
      </w:pPr>
      <w:r>
        <w:rPr>
          <w:rFonts w:hint="eastAsia"/>
          <w:spacing w:val="5"/>
          <w:sz w:val="20"/>
          <w:szCs w:val="20"/>
          <w:lang w:val="en-US" w:eastAsia="zh-CN"/>
        </w:rPr>
        <w:br w:type="page"/>
      </w:r>
    </w:p>
    <w:p w14:paraId="74076EDB">
      <w:pPr>
        <w:pStyle w:val="3"/>
        <w:spacing w:before="0" w:line="240" w:lineRule="auto"/>
        <w:jc w:val="center"/>
        <w:outlineLvl w:val="1"/>
        <w:rPr>
          <w:rFonts w:hint="eastAsia"/>
          <w:spacing w:val="5"/>
          <w:sz w:val="20"/>
          <w:szCs w:val="20"/>
          <w:lang w:val="en-US" w:eastAsia="zh-CN"/>
        </w:rPr>
      </w:pPr>
      <w:r>
        <w:rPr>
          <w:rFonts w:hint="eastAsia"/>
          <w:spacing w:val="5"/>
          <w:sz w:val="20"/>
          <w:szCs w:val="20"/>
          <w:lang w:val="en-US" w:eastAsia="zh-CN"/>
        </w:rPr>
        <w:t xml:space="preserve">附录B </w:t>
      </w:r>
    </w:p>
    <w:p w14:paraId="08CFABA7">
      <w:pPr>
        <w:pStyle w:val="3"/>
        <w:spacing w:before="0" w:line="240" w:lineRule="auto"/>
        <w:jc w:val="center"/>
        <w:outlineLvl w:val="1"/>
        <w:rPr>
          <w:rFonts w:hint="eastAsia"/>
          <w:spacing w:val="5"/>
          <w:sz w:val="20"/>
          <w:szCs w:val="20"/>
          <w:highlight w:val="none"/>
          <w:lang w:val="en-US" w:eastAsia="zh-CN"/>
        </w:rPr>
      </w:pPr>
      <w:r>
        <w:rPr>
          <w:rFonts w:hint="eastAsia"/>
          <w:spacing w:val="5"/>
          <w:sz w:val="20"/>
          <w:szCs w:val="20"/>
          <w:highlight w:val="none"/>
          <w:lang w:val="en-US" w:eastAsia="zh-CN"/>
        </w:rPr>
        <w:t>（资料性）</w:t>
      </w:r>
    </w:p>
    <w:p w14:paraId="528FF962">
      <w:pPr>
        <w:pStyle w:val="3"/>
        <w:spacing w:before="0" w:line="240" w:lineRule="auto"/>
        <w:jc w:val="center"/>
        <w:outlineLvl w:val="1"/>
        <w:rPr>
          <w:rFonts w:hint="eastAsia"/>
          <w:spacing w:val="5"/>
          <w:sz w:val="20"/>
          <w:szCs w:val="20"/>
          <w:lang w:val="en-US" w:eastAsia="zh-CN"/>
        </w:rPr>
      </w:pPr>
      <w:r>
        <w:rPr>
          <w:rFonts w:hint="eastAsia"/>
          <w:spacing w:val="5"/>
          <w:sz w:val="20"/>
          <w:szCs w:val="20"/>
          <w:lang w:val="en-US" w:eastAsia="zh-CN"/>
        </w:rPr>
        <w:t>棉花公证检验 现场检验危险源及管控措施</w:t>
      </w:r>
    </w:p>
    <w:tbl>
      <w:tblPr>
        <w:tblStyle w:val="10"/>
        <w:tblW w:w="5238" w:type="pct"/>
        <w:jc w:val="center"/>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Layout w:type="autofit"/>
        <w:tblCellMar>
          <w:top w:w="0" w:type="dxa"/>
          <w:left w:w="10" w:type="dxa"/>
          <w:bottom w:w="0" w:type="dxa"/>
          <w:right w:w="10" w:type="dxa"/>
        </w:tblCellMar>
      </w:tblPr>
      <w:tblGrid>
        <w:gridCol w:w="350"/>
        <w:gridCol w:w="871"/>
        <w:gridCol w:w="1207"/>
        <w:gridCol w:w="1637"/>
        <w:gridCol w:w="2578"/>
        <w:gridCol w:w="2618"/>
      </w:tblGrid>
      <w:tr w14:paraId="0B6D2458">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822" w:hRule="atLeast"/>
          <w:tblHeader/>
          <w:jc w:val="center"/>
        </w:trPr>
        <w:tc>
          <w:tcPr>
            <w:tcW w:w="189" w:type="pct"/>
            <w:tcBorders>
              <w:tl2br w:val="nil"/>
              <w:tr2bl w:val="nil"/>
            </w:tcBorders>
            <w:shd w:val="clear" w:color="auto" w:fill="DCDCDC"/>
            <w:noWrap w:val="0"/>
            <w:vAlign w:val="center"/>
          </w:tcPr>
          <w:p w14:paraId="57F7888D">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序号</w:t>
            </w:r>
          </w:p>
        </w:tc>
        <w:tc>
          <w:tcPr>
            <w:tcW w:w="470" w:type="pct"/>
            <w:tcBorders>
              <w:tl2br w:val="nil"/>
              <w:tr2bl w:val="nil"/>
            </w:tcBorders>
            <w:shd w:val="clear" w:color="auto" w:fill="DCDCDC"/>
            <w:noWrap w:val="0"/>
            <w:vAlign w:val="center"/>
          </w:tcPr>
          <w:p w14:paraId="0559A76C">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场所</w:t>
            </w:r>
            <w:r>
              <w:rPr>
                <w:rStyle w:val="11"/>
                <w:rFonts w:hint="eastAsia" w:asciiTheme="minorEastAsia" w:hAnsiTheme="minorEastAsia" w:eastAsiaTheme="minorEastAsia" w:cstheme="minorEastAsia"/>
                <w:b/>
                <w:bCs/>
                <w:sz w:val="18"/>
                <w:szCs w:val="18"/>
                <w:lang w:val="zh-TW"/>
              </w:rPr>
              <w:t>/</w:t>
            </w:r>
            <w:r>
              <w:rPr>
                <w:rStyle w:val="11"/>
                <w:rFonts w:hint="eastAsia" w:asciiTheme="minorEastAsia" w:hAnsiTheme="minorEastAsia" w:eastAsiaTheme="minorEastAsia" w:cstheme="minorEastAsia"/>
                <w:b/>
                <w:bCs/>
                <w:sz w:val="18"/>
                <w:szCs w:val="18"/>
              </w:rPr>
              <w:t>环节/部位</w:t>
            </w:r>
          </w:p>
        </w:tc>
        <w:tc>
          <w:tcPr>
            <w:tcW w:w="651" w:type="pct"/>
            <w:tcBorders>
              <w:tl2br w:val="nil"/>
              <w:tr2bl w:val="nil"/>
            </w:tcBorders>
            <w:shd w:val="clear" w:color="auto" w:fill="DCDCDC"/>
            <w:noWrap w:val="0"/>
            <w:vAlign w:val="center"/>
          </w:tcPr>
          <w:p w14:paraId="5061005B">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较大危险</w:t>
            </w:r>
          </w:p>
          <w:p w14:paraId="2ABB679F">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因素</w:t>
            </w:r>
          </w:p>
        </w:tc>
        <w:tc>
          <w:tcPr>
            <w:tcW w:w="883" w:type="pct"/>
            <w:tcBorders>
              <w:tl2br w:val="nil"/>
              <w:tr2bl w:val="nil"/>
            </w:tcBorders>
            <w:shd w:val="clear" w:color="auto" w:fill="DCDCDC"/>
            <w:noWrap w:val="0"/>
            <w:vAlign w:val="center"/>
          </w:tcPr>
          <w:p w14:paraId="37FD0FD7">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易发生的</w:t>
            </w:r>
          </w:p>
          <w:p w14:paraId="3383BF89">
            <w:pPr>
              <w:pStyle w:val="6"/>
              <w:bidi w:val="0"/>
              <w:jc w:val="center"/>
              <w:rPr>
                <w:rStyle w:val="11"/>
                <w:rFonts w:hint="eastAsia" w:asciiTheme="minorEastAsia" w:hAnsiTheme="minorEastAsia" w:eastAsiaTheme="minorEastAsia" w:cstheme="minorEastAsia"/>
                <w:b/>
                <w:bCs/>
                <w:sz w:val="18"/>
                <w:szCs w:val="18"/>
                <w:lang w:val="en-US" w:eastAsia="zh-CN"/>
              </w:rPr>
            </w:pPr>
            <w:r>
              <w:rPr>
                <w:rStyle w:val="11"/>
                <w:rFonts w:hint="eastAsia" w:asciiTheme="minorEastAsia" w:hAnsiTheme="minorEastAsia" w:eastAsiaTheme="minorEastAsia" w:cstheme="minorEastAsia"/>
                <w:b/>
                <w:bCs/>
                <w:sz w:val="18"/>
                <w:szCs w:val="18"/>
                <w:lang w:val="en-US" w:eastAsia="zh-CN"/>
              </w:rPr>
              <w:t>风险、事故</w:t>
            </w:r>
          </w:p>
        </w:tc>
        <w:tc>
          <w:tcPr>
            <w:tcW w:w="1391" w:type="pct"/>
            <w:tcBorders>
              <w:tl2br w:val="nil"/>
              <w:tr2bl w:val="nil"/>
            </w:tcBorders>
            <w:shd w:val="clear" w:color="auto" w:fill="DCDCDC"/>
            <w:noWrap w:val="0"/>
            <w:vAlign w:val="center"/>
          </w:tcPr>
          <w:p w14:paraId="3AAFC921">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主要防范措施</w:t>
            </w:r>
          </w:p>
        </w:tc>
        <w:tc>
          <w:tcPr>
            <w:tcW w:w="1412" w:type="pct"/>
            <w:tcBorders>
              <w:tl2br w:val="nil"/>
              <w:tr2bl w:val="nil"/>
            </w:tcBorders>
            <w:shd w:val="clear" w:color="auto" w:fill="DCDCDC"/>
            <w:noWrap w:val="0"/>
            <w:vAlign w:val="center"/>
          </w:tcPr>
          <w:p w14:paraId="3DFFF4AE">
            <w:pPr>
              <w:pStyle w:val="6"/>
              <w:bidi w:val="0"/>
              <w:jc w:val="center"/>
              <w:rPr>
                <w:rStyle w:val="11"/>
                <w:rFonts w:hint="eastAsia" w:asciiTheme="minorEastAsia" w:hAnsiTheme="minorEastAsia" w:eastAsiaTheme="minorEastAsia" w:cstheme="minorEastAsia"/>
                <w:b/>
                <w:bCs/>
                <w:sz w:val="18"/>
                <w:szCs w:val="18"/>
              </w:rPr>
            </w:pPr>
            <w:r>
              <w:rPr>
                <w:rStyle w:val="11"/>
                <w:rFonts w:hint="eastAsia" w:asciiTheme="minorEastAsia" w:hAnsiTheme="minorEastAsia" w:eastAsiaTheme="minorEastAsia" w:cstheme="minorEastAsia"/>
                <w:b/>
                <w:bCs/>
                <w:sz w:val="18"/>
                <w:szCs w:val="18"/>
              </w:rPr>
              <w:t>依据</w:t>
            </w:r>
          </w:p>
        </w:tc>
      </w:tr>
      <w:tr w14:paraId="03315114">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1618" w:hRule="atLeast"/>
          <w:jc w:val="center"/>
        </w:trPr>
        <w:tc>
          <w:tcPr>
            <w:tcW w:w="189" w:type="pct"/>
            <w:vMerge w:val="restart"/>
            <w:tcBorders>
              <w:tl2br w:val="nil"/>
              <w:tr2bl w:val="nil"/>
            </w:tcBorders>
            <w:shd w:val="clear" w:color="auto" w:fill="FEFEFE"/>
            <w:noWrap w:val="0"/>
            <w:vAlign w:val="center"/>
          </w:tcPr>
          <w:p w14:paraId="169D6D7D">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w:t>
            </w:r>
          </w:p>
          <w:p w14:paraId="3F3E95FA">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restart"/>
            <w:tcBorders>
              <w:tl2br w:val="nil"/>
              <w:tr2bl w:val="nil"/>
            </w:tcBorders>
            <w:shd w:val="clear" w:color="auto" w:fill="FEFEFE"/>
            <w:noWrap w:val="0"/>
            <w:vAlign w:val="center"/>
          </w:tcPr>
          <w:p w14:paraId="13F090BF">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监磅、查验</w:t>
            </w:r>
          </w:p>
        </w:tc>
        <w:tc>
          <w:tcPr>
            <w:tcW w:w="651" w:type="pct"/>
            <w:tcBorders>
              <w:tl2br w:val="nil"/>
              <w:tr2bl w:val="nil"/>
            </w:tcBorders>
            <w:shd w:val="clear" w:color="auto" w:fill="FEFEFE"/>
            <w:noWrap w:val="0"/>
            <w:vAlign w:val="top"/>
          </w:tcPr>
          <w:p w14:paraId="0F7D50A5">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久坐或长时间采用不正确工作姿势</w:t>
            </w:r>
          </w:p>
          <w:p w14:paraId="485E7036">
            <w:pPr>
              <w:pStyle w:val="6"/>
              <w:bidi w:val="0"/>
              <w:jc w:val="both"/>
              <w:rPr>
                <w:rStyle w:val="11"/>
                <w:rFonts w:hint="eastAsia" w:asciiTheme="minorEastAsia" w:hAnsiTheme="minorEastAsia" w:eastAsiaTheme="minorEastAsia" w:cstheme="minorEastAsia"/>
                <w:sz w:val="18"/>
                <w:szCs w:val="18"/>
                <w:lang w:val="en-US" w:eastAsia="zh-CN"/>
              </w:rPr>
            </w:pPr>
          </w:p>
        </w:tc>
        <w:tc>
          <w:tcPr>
            <w:tcW w:w="883" w:type="pct"/>
            <w:tcBorders>
              <w:tl2br w:val="nil"/>
              <w:tr2bl w:val="nil"/>
            </w:tcBorders>
            <w:shd w:val="clear" w:color="auto" w:fill="FEFEFE"/>
            <w:noWrap w:val="0"/>
            <w:vAlign w:val="top"/>
          </w:tcPr>
          <w:p w14:paraId="7803BBE5">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（1）造成颈部、腰部不适、腰肌老损。</w:t>
            </w:r>
          </w:p>
          <w:p w14:paraId="30D7ABC1">
            <w:pPr>
              <w:pStyle w:val="6"/>
              <w:bidi w:val="0"/>
              <w:jc w:val="both"/>
              <w:rPr>
                <w:rStyle w:val="11"/>
                <w:rFonts w:hint="eastAsia" w:asciiTheme="minorEastAsia" w:hAnsiTheme="minorEastAsia" w:eastAsiaTheme="minorEastAsia" w:cstheme="minorEastAsia"/>
                <w:sz w:val="18"/>
                <w:szCs w:val="18"/>
                <w:lang w:val="en-US" w:eastAsia="zh-CN"/>
              </w:rPr>
            </w:pPr>
          </w:p>
        </w:tc>
        <w:tc>
          <w:tcPr>
            <w:tcW w:w="1391" w:type="pct"/>
            <w:tcBorders>
              <w:tl2br w:val="nil"/>
              <w:tr2bl w:val="nil"/>
            </w:tcBorders>
            <w:shd w:val="clear" w:color="auto" w:fill="FEFEFE"/>
            <w:noWrap w:val="0"/>
            <w:vAlign w:val="top"/>
          </w:tcPr>
          <w:p w14:paraId="49C3CDEC">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（1）加强对相关人员职业病防治的宣传；</w:t>
            </w:r>
          </w:p>
          <w:p w14:paraId="067B3568">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（2）提醒工作人员定期站起来活动躯干和四肢；</w:t>
            </w:r>
          </w:p>
          <w:p w14:paraId="7E221851">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（3）严格控制作业时长；</w:t>
            </w:r>
          </w:p>
          <w:p w14:paraId="01BD3CCC">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（4）监磅与查验2人轮换工作。</w:t>
            </w:r>
          </w:p>
        </w:tc>
        <w:tc>
          <w:tcPr>
            <w:tcW w:w="1412" w:type="pct"/>
            <w:tcBorders>
              <w:tl2br w:val="nil"/>
              <w:tr2bl w:val="nil"/>
            </w:tcBorders>
            <w:shd w:val="clear" w:color="auto" w:fill="FEFEFE"/>
            <w:noWrap w:val="0"/>
            <w:vAlign w:val="top"/>
          </w:tcPr>
          <w:p w14:paraId="4AFB3DA6">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《职业病防治法》第四条；GB/T 27476.7-2022《检测实验室安全第7部分:工效学因素》5.3.1.3g)</w:t>
            </w:r>
          </w:p>
          <w:p w14:paraId="21D7041A">
            <w:pPr>
              <w:pStyle w:val="6"/>
              <w:bidi w:val="0"/>
              <w:jc w:val="both"/>
              <w:rPr>
                <w:rStyle w:val="11"/>
                <w:rFonts w:hint="eastAsia" w:asciiTheme="minorEastAsia" w:hAnsiTheme="minorEastAsia" w:eastAsiaTheme="minorEastAsia" w:cstheme="minorEastAsia"/>
                <w:sz w:val="18"/>
                <w:szCs w:val="18"/>
                <w:lang w:val="en-US" w:eastAsia="zh-CN"/>
              </w:rPr>
            </w:pPr>
          </w:p>
          <w:p w14:paraId="2AB1F750">
            <w:pPr>
              <w:pStyle w:val="6"/>
              <w:bidi w:val="0"/>
              <w:jc w:val="both"/>
              <w:rPr>
                <w:rStyle w:val="11"/>
                <w:rFonts w:hint="eastAsia" w:asciiTheme="minorEastAsia" w:hAnsiTheme="minorEastAsia" w:eastAsiaTheme="minorEastAsia" w:cstheme="minorEastAsia"/>
                <w:sz w:val="18"/>
                <w:szCs w:val="18"/>
              </w:rPr>
            </w:pPr>
          </w:p>
        </w:tc>
      </w:tr>
      <w:tr w14:paraId="4E1BC396">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1546" w:hRule="atLeast"/>
          <w:jc w:val="center"/>
        </w:trPr>
        <w:tc>
          <w:tcPr>
            <w:tcW w:w="189" w:type="pct"/>
            <w:vMerge w:val="continue"/>
            <w:tcBorders>
              <w:tl2br w:val="nil"/>
              <w:tr2bl w:val="nil"/>
            </w:tcBorders>
            <w:shd w:val="clear" w:color="auto" w:fill="FEFEFE"/>
            <w:noWrap w:val="0"/>
            <w:vAlign w:val="center"/>
          </w:tcPr>
          <w:p w14:paraId="7A488566">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551E066F">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0F6D00F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长时间使用电脑</w:t>
            </w:r>
          </w:p>
        </w:tc>
        <w:tc>
          <w:tcPr>
            <w:tcW w:w="883" w:type="pct"/>
            <w:tcBorders>
              <w:tl2br w:val="nil"/>
              <w:tr2bl w:val="nil"/>
            </w:tcBorders>
            <w:shd w:val="clear" w:color="auto" w:fill="FEFEFE"/>
            <w:noWrap w:val="0"/>
            <w:vAlign w:val="center"/>
          </w:tcPr>
          <w:p w14:paraId="4F1926BB">
            <w:pPr>
              <w:pStyle w:val="6"/>
              <w:numPr>
                <w:ilvl w:val="0"/>
                <w:numId w:val="0"/>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(1)眼睛不适、模糊、充血；</w:t>
            </w:r>
          </w:p>
          <w:p w14:paraId="3715B36C">
            <w:pPr>
              <w:pStyle w:val="6"/>
              <w:numPr>
                <w:ilvl w:val="0"/>
                <w:numId w:val="0"/>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(2)鼠标手。</w:t>
            </w:r>
          </w:p>
        </w:tc>
        <w:tc>
          <w:tcPr>
            <w:tcW w:w="1391" w:type="pct"/>
            <w:tcBorders>
              <w:tl2br w:val="nil"/>
              <w:tr2bl w:val="nil"/>
            </w:tcBorders>
            <w:shd w:val="clear" w:color="auto" w:fill="FEFEFE"/>
            <w:noWrap w:val="0"/>
            <w:vAlign w:val="center"/>
          </w:tcPr>
          <w:p w14:paraId="0A49DCC1">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（1）加强对相关人员职业病防治的宣传；</w:t>
            </w:r>
          </w:p>
          <w:p w14:paraId="5B83D59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（2）指导工作人员定期做眼保健操；</w:t>
            </w:r>
          </w:p>
          <w:p w14:paraId="1E59E28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（3）严格控制作业时长；</w:t>
            </w:r>
          </w:p>
          <w:p w14:paraId="182C3934">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（4）监磅与查验2人轮换工作。</w:t>
            </w:r>
          </w:p>
        </w:tc>
        <w:tc>
          <w:tcPr>
            <w:tcW w:w="1412" w:type="pct"/>
            <w:tcBorders>
              <w:tl2br w:val="nil"/>
              <w:tr2bl w:val="nil"/>
            </w:tcBorders>
            <w:shd w:val="clear" w:color="auto" w:fill="FEFEFE"/>
            <w:noWrap w:val="0"/>
            <w:vAlign w:val="center"/>
          </w:tcPr>
          <w:p w14:paraId="6A71B028">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《职业病防治法》第四条；GB/T 27476.7-2022《检测实验室安全第7部分:工效学因素》5.3.1.3g)。</w:t>
            </w:r>
          </w:p>
          <w:p w14:paraId="10A51DEF">
            <w:pPr>
              <w:pStyle w:val="6"/>
              <w:bidi w:val="0"/>
              <w:jc w:val="left"/>
              <w:rPr>
                <w:rStyle w:val="11"/>
                <w:rFonts w:hint="eastAsia" w:asciiTheme="minorEastAsia" w:hAnsiTheme="minorEastAsia" w:eastAsiaTheme="minorEastAsia" w:cstheme="minorEastAsia"/>
                <w:sz w:val="18"/>
                <w:szCs w:val="18"/>
                <w:lang w:val="en-US" w:eastAsia="zh-CN"/>
              </w:rPr>
            </w:pPr>
          </w:p>
        </w:tc>
      </w:tr>
      <w:tr w14:paraId="7309933A">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155F7959">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44D6A0D4">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top"/>
          </w:tcPr>
          <w:p w14:paraId="6E535D54">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待检时间长、查验严格、服务态度僵硬等。</w:t>
            </w:r>
          </w:p>
        </w:tc>
        <w:tc>
          <w:tcPr>
            <w:tcW w:w="883" w:type="pct"/>
            <w:tcBorders>
              <w:tl2br w:val="nil"/>
              <w:tr2bl w:val="nil"/>
            </w:tcBorders>
            <w:shd w:val="clear" w:color="auto" w:fill="FEFEFE"/>
            <w:noWrap w:val="0"/>
            <w:vAlign w:val="top"/>
          </w:tcPr>
          <w:p w14:paraId="58FE529C">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产生言语冲突，造成民族纠纷。</w:t>
            </w:r>
          </w:p>
        </w:tc>
        <w:tc>
          <w:tcPr>
            <w:tcW w:w="1391" w:type="pct"/>
            <w:tcBorders>
              <w:tl2br w:val="nil"/>
              <w:tr2bl w:val="nil"/>
            </w:tcBorders>
            <w:shd w:val="clear" w:color="auto" w:fill="FEFEFE"/>
            <w:noWrap w:val="0"/>
            <w:vAlign w:val="top"/>
          </w:tcPr>
          <w:p w14:paraId="1CC6D877">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（1）合理规划报验预约，避免待检时间过长；</w:t>
            </w:r>
          </w:p>
          <w:p w14:paraId="2BFD6470">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（2）规范服务用语，加强服务态度的考核；</w:t>
            </w:r>
          </w:p>
          <w:p w14:paraId="25411B84">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（3）规定出现纠纷第一时间报告主检单位管理者代表。</w:t>
            </w:r>
          </w:p>
        </w:tc>
        <w:tc>
          <w:tcPr>
            <w:tcW w:w="1412" w:type="pct"/>
            <w:tcBorders>
              <w:tl2br w:val="nil"/>
              <w:tr2bl w:val="nil"/>
            </w:tcBorders>
            <w:shd w:val="clear" w:color="auto" w:fill="FEFEFE"/>
            <w:noWrap w:val="0"/>
            <w:vAlign w:val="top"/>
          </w:tcPr>
          <w:p w14:paraId="138443AC">
            <w:pPr>
              <w:pStyle w:val="6"/>
              <w:bidi w:val="0"/>
              <w:jc w:val="both"/>
              <w:rPr>
                <w:rStyle w:val="11"/>
                <w:rFonts w:hint="eastAsia" w:asciiTheme="minorEastAsia" w:hAnsiTheme="minorEastAsia" w:eastAsiaTheme="minorEastAsia" w:cstheme="minorEastAsia"/>
                <w:color w:val="000000"/>
                <w:sz w:val="18"/>
                <w:szCs w:val="18"/>
                <w:lang w:val="en-US" w:eastAsia="zh-CN"/>
              </w:rPr>
            </w:pPr>
            <w:r>
              <w:rPr>
                <w:rStyle w:val="11"/>
                <w:rFonts w:hint="eastAsia" w:asciiTheme="minorEastAsia" w:hAnsiTheme="minorEastAsia" w:eastAsiaTheme="minorEastAsia" w:cstheme="minorEastAsia"/>
                <w:color w:val="000000"/>
                <w:sz w:val="18"/>
                <w:szCs w:val="18"/>
                <w:lang w:val="en-US" w:eastAsia="zh-CN"/>
              </w:rPr>
              <w:t>任务下达部门提高工作效率的有关规定。</w:t>
            </w:r>
          </w:p>
        </w:tc>
      </w:tr>
      <w:tr w14:paraId="503E96FC">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0615EB5F">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6D859BA9">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top"/>
          </w:tcPr>
          <w:p w14:paraId="60EAC983">
            <w:pPr>
              <w:pStyle w:val="6"/>
              <w:bidi w:val="0"/>
              <w:jc w:val="both"/>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冬季道路湿滑、高低不平。</w:t>
            </w:r>
          </w:p>
        </w:tc>
        <w:tc>
          <w:tcPr>
            <w:tcW w:w="883" w:type="pct"/>
            <w:tcBorders>
              <w:tl2br w:val="nil"/>
              <w:tr2bl w:val="nil"/>
            </w:tcBorders>
            <w:shd w:val="clear" w:color="auto" w:fill="FEFEFE"/>
            <w:noWrap w:val="0"/>
            <w:vAlign w:val="top"/>
          </w:tcPr>
          <w:p w14:paraId="3398C999">
            <w:pPr>
              <w:pStyle w:val="6"/>
              <w:bidi w:val="0"/>
              <w:jc w:val="both"/>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摔跤、滑到、严重的导致摔伤、骨折。</w:t>
            </w:r>
          </w:p>
        </w:tc>
        <w:tc>
          <w:tcPr>
            <w:tcW w:w="1391" w:type="pct"/>
            <w:tcBorders>
              <w:tl2br w:val="nil"/>
              <w:tr2bl w:val="nil"/>
            </w:tcBorders>
            <w:shd w:val="clear" w:color="auto" w:fill="FEFEFE"/>
            <w:noWrap w:val="0"/>
            <w:vAlign w:val="top"/>
          </w:tcPr>
          <w:p w14:paraId="4E3245A3">
            <w:pPr>
              <w:pStyle w:val="6"/>
              <w:numPr>
                <w:ilvl w:val="0"/>
                <w:numId w:val="8"/>
              </w:numPr>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加强安全教育，预防事故发生；</w:t>
            </w:r>
          </w:p>
          <w:p w14:paraId="5A64A1CF">
            <w:pPr>
              <w:pStyle w:val="6"/>
              <w:numPr>
                <w:ilvl w:val="0"/>
                <w:numId w:val="8"/>
              </w:numPr>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规定合理的查验路线；</w:t>
            </w:r>
          </w:p>
          <w:p w14:paraId="7A469447">
            <w:pPr>
              <w:pStyle w:val="6"/>
              <w:numPr>
                <w:ilvl w:val="0"/>
                <w:numId w:val="8"/>
              </w:numPr>
              <w:bidi w:val="0"/>
              <w:jc w:val="both"/>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配置防滑防寒劳保鞋、防滑鞋套。</w:t>
            </w:r>
          </w:p>
        </w:tc>
        <w:tc>
          <w:tcPr>
            <w:tcW w:w="1412" w:type="pct"/>
            <w:tcBorders>
              <w:tl2br w:val="nil"/>
              <w:tr2bl w:val="nil"/>
            </w:tcBorders>
            <w:shd w:val="clear" w:color="auto" w:fill="FEFEFE"/>
            <w:noWrap w:val="0"/>
            <w:vAlign w:val="top"/>
          </w:tcPr>
          <w:p w14:paraId="002EB39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72B1407F">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27476.7-2022《检测实验室安全第7部分:工效学因素》5.1.3e)、5.5.2。</w:t>
            </w:r>
          </w:p>
          <w:p w14:paraId="4EAA1B79">
            <w:pPr>
              <w:pStyle w:val="6"/>
              <w:bidi w:val="0"/>
              <w:jc w:val="both"/>
              <w:rPr>
                <w:rStyle w:val="11"/>
                <w:rFonts w:hint="eastAsia" w:asciiTheme="minorEastAsia" w:hAnsiTheme="minorEastAsia" w:eastAsiaTheme="minorEastAsia" w:cstheme="minorEastAsia"/>
                <w:color w:val="000000"/>
                <w:sz w:val="18"/>
                <w:szCs w:val="18"/>
                <w:lang w:val="en-US" w:eastAsia="zh-CN"/>
              </w:rPr>
            </w:pPr>
          </w:p>
        </w:tc>
      </w:tr>
      <w:tr w14:paraId="19BA7699">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6022A6C3">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52A352A4">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top"/>
          </w:tcPr>
          <w:p w14:paraId="12A8214E">
            <w:pPr>
              <w:pStyle w:val="6"/>
              <w:bidi w:val="0"/>
              <w:jc w:val="both"/>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早、晚视野不清，司机疲劳驾驶，未按规定行驶。</w:t>
            </w:r>
          </w:p>
        </w:tc>
        <w:tc>
          <w:tcPr>
            <w:tcW w:w="883" w:type="pct"/>
            <w:tcBorders>
              <w:tl2br w:val="nil"/>
              <w:tr2bl w:val="nil"/>
            </w:tcBorders>
            <w:shd w:val="clear" w:color="auto" w:fill="FEFEFE"/>
            <w:noWrap w:val="0"/>
            <w:vAlign w:val="top"/>
          </w:tcPr>
          <w:p w14:paraId="566212CB">
            <w:pPr>
              <w:pStyle w:val="6"/>
              <w:bidi w:val="0"/>
              <w:jc w:val="both"/>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容易造成交通事故。</w:t>
            </w:r>
          </w:p>
        </w:tc>
        <w:tc>
          <w:tcPr>
            <w:tcW w:w="1391" w:type="pct"/>
            <w:tcBorders>
              <w:tl2br w:val="nil"/>
              <w:tr2bl w:val="nil"/>
            </w:tcBorders>
            <w:shd w:val="clear" w:color="auto" w:fill="FEFEFE"/>
            <w:noWrap w:val="0"/>
            <w:vAlign w:val="top"/>
          </w:tcPr>
          <w:p w14:paraId="1FC2B009">
            <w:pPr>
              <w:pStyle w:val="6"/>
              <w:numPr>
                <w:ilvl w:val="0"/>
                <w:numId w:val="9"/>
              </w:numPr>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加强安全教育，预防事故发生；</w:t>
            </w:r>
          </w:p>
          <w:p w14:paraId="36926803">
            <w:pPr>
              <w:pStyle w:val="6"/>
              <w:numPr>
                <w:ilvl w:val="0"/>
                <w:numId w:val="9"/>
              </w:numPr>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配置醒目标志（如有反光条马甲、“查验”红色袖章等）；</w:t>
            </w:r>
          </w:p>
          <w:p w14:paraId="019D8677">
            <w:pPr>
              <w:pStyle w:val="6"/>
              <w:numPr>
                <w:ilvl w:val="0"/>
                <w:numId w:val="9"/>
              </w:numPr>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配置指示卡车上磅（绿色行驶）与等待（红色停止）的指示牌。</w:t>
            </w:r>
          </w:p>
          <w:p w14:paraId="3E704DF8">
            <w:pPr>
              <w:pStyle w:val="6"/>
              <w:numPr>
                <w:ilvl w:val="0"/>
                <w:numId w:val="0"/>
              </w:numPr>
              <w:bidi w:val="0"/>
              <w:jc w:val="both"/>
              <w:rPr>
                <w:rStyle w:val="11"/>
                <w:rFonts w:hint="default" w:asciiTheme="minorEastAsia" w:hAnsiTheme="minorEastAsia" w:eastAsiaTheme="minorEastAsia" w:cstheme="minorEastAsia"/>
                <w:sz w:val="18"/>
                <w:szCs w:val="18"/>
                <w:lang w:val="en-US" w:eastAsia="zh-CN"/>
              </w:rPr>
            </w:pPr>
          </w:p>
        </w:tc>
        <w:tc>
          <w:tcPr>
            <w:tcW w:w="1412" w:type="pct"/>
            <w:tcBorders>
              <w:tl2br w:val="nil"/>
              <w:tr2bl w:val="nil"/>
            </w:tcBorders>
            <w:shd w:val="clear" w:color="auto" w:fill="FEFEFE"/>
            <w:noWrap w:val="0"/>
            <w:vAlign w:val="top"/>
          </w:tcPr>
          <w:p w14:paraId="02C9CE29">
            <w:pPr>
              <w:pStyle w:val="6"/>
              <w:bidi w:val="0"/>
              <w:jc w:val="both"/>
              <w:rPr>
                <w:rStyle w:val="11"/>
                <w:rFonts w:hint="eastAsia" w:asciiTheme="minorEastAsia" w:hAnsiTheme="minorEastAsia" w:eastAsiaTheme="minorEastAsia" w:cstheme="minorEastAsia"/>
                <w:color w:val="000000"/>
                <w:sz w:val="18"/>
                <w:szCs w:val="18"/>
                <w:lang w:val="en-US" w:eastAsia="zh-CN"/>
              </w:rPr>
            </w:pPr>
            <w:r>
              <w:rPr>
                <w:rFonts w:hint="eastAsia" w:ascii="宋体" w:hAnsi="宋体" w:eastAsia="宋体" w:cs="宋体"/>
                <w:sz w:val="20"/>
                <w:szCs w:val="20"/>
                <w:lang w:val="en-US" w:eastAsia="zh-CN"/>
              </w:rPr>
              <w:t xml:space="preserve"> 《安全生产法》第四条、GB 2893、GB 2894、GBZ 158 有关规定。</w:t>
            </w:r>
          </w:p>
        </w:tc>
      </w:tr>
      <w:tr w14:paraId="5C22445E">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restart"/>
            <w:tcBorders>
              <w:tl2br w:val="nil"/>
              <w:tr2bl w:val="nil"/>
            </w:tcBorders>
            <w:shd w:val="clear" w:color="auto" w:fill="FEFEFE"/>
            <w:noWrap w:val="0"/>
            <w:vAlign w:val="center"/>
          </w:tcPr>
          <w:p w14:paraId="4752D43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w:t>
            </w:r>
          </w:p>
          <w:p w14:paraId="67058106">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restart"/>
            <w:tcBorders>
              <w:tl2br w:val="nil"/>
              <w:tr2bl w:val="nil"/>
            </w:tcBorders>
            <w:shd w:val="clear" w:color="auto" w:fill="FEFEFE"/>
            <w:noWrap w:val="0"/>
            <w:vAlign w:val="center"/>
          </w:tcPr>
          <w:p w14:paraId="0E9E1C2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抽样</w:t>
            </w:r>
          </w:p>
        </w:tc>
        <w:tc>
          <w:tcPr>
            <w:tcW w:w="651" w:type="pct"/>
            <w:tcBorders>
              <w:tl2br w:val="nil"/>
              <w:tr2bl w:val="nil"/>
            </w:tcBorders>
            <w:shd w:val="clear" w:color="auto" w:fill="FEFEFE"/>
            <w:noWrap w:val="0"/>
            <w:vAlign w:val="center"/>
          </w:tcPr>
          <w:p w14:paraId="3FAC7F1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（1）冬季低温作业时间太长</w:t>
            </w:r>
          </w:p>
        </w:tc>
        <w:tc>
          <w:tcPr>
            <w:tcW w:w="883" w:type="pct"/>
            <w:tcBorders>
              <w:tl2br w:val="nil"/>
              <w:tr2bl w:val="nil"/>
            </w:tcBorders>
            <w:shd w:val="clear" w:color="auto" w:fill="FEFEFE"/>
            <w:noWrap w:val="0"/>
            <w:vAlign w:val="center"/>
          </w:tcPr>
          <w:p w14:paraId="33DAC0B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（1）身体不适</w:t>
            </w:r>
          </w:p>
          <w:p w14:paraId="2E1CF77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（2）基础病复发</w:t>
            </w:r>
          </w:p>
          <w:p w14:paraId="3849FC7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（3）冻伤</w:t>
            </w:r>
          </w:p>
        </w:tc>
        <w:tc>
          <w:tcPr>
            <w:tcW w:w="1391" w:type="pct"/>
            <w:tcBorders>
              <w:tl2br w:val="nil"/>
              <w:tr2bl w:val="nil"/>
            </w:tcBorders>
            <w:shd w:val="clear" w:color="auto" w:fill="FEFEFE"/>
            <w:noWrap w:val="0"/>
            <w:vAlign w:val="center"/>
          </w:tcPr>
          <w:p w14:paraId="1E19C523">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（1）开展公检人员岗前高寒防御培训，普及高寒预防知识 ；</w:t>
            </w:r>
          </w:p>
          <w:p w14:paraId="2F2BE24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（2）严格规定低温条件下上岗人员条件；</w:t>
            </w:r>
          </w:p>
          <w:p w14:paraId="27E4C6A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（3）严格按相关规定配备和使用劳保用品；</w:t>
            </w:r>
          </w:p>
          <w:p w14:paraId="741CEF6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（4）严格控制作业时长；每日低温作业时间不宜超过 4h，在 4h 连续作业内宜安排1 次~2 次休息。</w:t>
            </w:r>
          </w:p>
          <w:p w14:paraId="79A515DD">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（5）环境温度低于-12℃的工作场所，应对作业进行持续监控，宜采取两人以上作业方式。</w:t>
            </w:r>
          </w:p>
          <w:p w14:paraId="24E23B7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（6）制定相关现场应急急救处置预案。</w:t>
            </w:r>
          </w:p>
        </w:tc>
        <w:tc>
          <w:tcPr>
            <w:tcW w:w="1412" w:type="pct"/>
            <w:tcBorders>
              <w:tl2br w:val="nil"/>
              <w:tr2bl w:val="nil"/>
            </w:tcBorders>
            <w:shd w:val="clear" w:color="auto" w:fill="FEFEFE"/>
            <w:noWrap w:val="0"/>
            <w:vAlign w:val="center"/>
          </w:tcPr>
          <w:p w14:paraId="41721E0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41A3A62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27476.7-2022《检测实验室安全第7部分:工效学因素》5.1.3e)、5.5.2；</w:t>
            </w:r>
          </w:p>
          <w:p w14:paraId="08682FD8">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14440《低温作业分级》；</w:t>
            </w:r>
          </w:p>
          <w:p w14:paraId="67019C8A">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《高寒环境野外作业 HSE 管理防冻程序》3.2第4条；</w:t>
            </w:r>
          </w:p>
          <w:p w14:paraId="1DA8459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DB 36/T 1118-2019《低温作业职业危害防护技术规范》8.2。</w:t>
            </w:r>
          </w:p>
        </w:tc>
      </w:tr>
      <w:tr w14:paraId="1F91708B">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76ECEC0E">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32C39BB6">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723DA22D">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（2）夏季高温作业时间太长</w:t>
            </w:r>
          </w:p>
        </w:tc>
        <w:tc>
          <w:tcPr>
            <w:tcW w:w="883" w:type="pct"/>
            <w:tcBorders>
              <w:tl2br w:val="nil"/>
              <w:tr2bl w:val="nil"/>
            </w:tcBorders>
            <w:shd w:val="clear" w:color="auto" w:fill="FEFEFE"/>
            <w:noWrap w:val="0"/>
            <w:vAlign w:val="center"/>
          </w:tcPr>
          <w:p w14:paraId="634EB761">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（1）身体不适</w:t>
            </w:r>
          </w:p>
          <w:p w14:paraId="2EFD381C">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（2）基础病复发</w:t>
            </w:r>
          </w:p>
          <w:p w14:paraId="35CAA4DE">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（3）中暑</w:t>
            </w:r>
          </w:p>
        </w:tc>
        <w:tc>
          <w:tcPr>
            <w:tcW w:w="1391" w:type="pct"/>
            <w:tcBorders>
              <w:tl2br w:val="nil"/>
              <w:tr2bl w:val="nil"/>
            </w:tcBorders>
            <w:shd w:val="clear" w:color="auto" w:fill="FEFEFE"/>
            <w:noWrap w:val="0"/>
            <w:vAlign w:val="center"/>
          </w:tcPr>
          <w:p w14:paraId="6B9C4867">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（1）开展公检人员岗前高温防御培训，普及高温预防知识 ；</w:t>
            </w:r>
          </w:p>
          <w:p w14:paraId="4588363B">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（2）严格规定高温条件下上岗人员条件；</w:t>
            </w:r>
          </w:p>
          <w:p w14:paraId="34F0D48C">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（3）严格按相关规定配备和使用劳保用品；</w:t>
            </w:r>
          </w:p>
          <w:p w14:paraId="62AA7E30">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（4）日气温达到35°C以上时，应当采取换班轮休等方式，缩短连续作业时间，适当延长作业人员中午休息时间。</w:t>
            </w:r>
          </w:p>
          <w:p w14:paraId="5C8EFE15">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 xml:space="preserve">（5）日最高气温达到37℃以上时，全天露天作业时间累计不得超过6小时；日最高气温达到40℃以上，应当停止当日室外露天作业。 </w:t>
            </w:r>
          </w:p>
          <w:p w14:paraId="0EBC244B">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（6）制定相关现场应急急救处置预案。</w:t>
            </w:r>
          </w:p>
        </w:tc>
        <w:tc>
          <w:tcPr>
            <w:tcW w:w="1412" w:type="pct"/>
            <w:tcBorders>
              <w:tl2br w:val="nil"/>
              <w:tr2bl w:val="nil"/>
            </w:tcBorders>
            <w:shd w:val="clear" w:color="auto" w:fill="FEFEFE"/>
            <w:noWrap w:val="0"/>
            <w:vAlign w:val="center"/>
          </w:tcPr>
          <w:p w14:paraId="6EEAB19B">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《职业病防治法》第四条；</w:t>
            </w:r>
          </w:p>
          <w:p w14:paraId="52293364">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GB/T 27476.7-2022《检测实验室安全第7部分:工效学因素》5.1.3e)、5.5.2；</w:t>
            </w:r>
          </w:p>
          <w:p w14:paraId="7F5992AF">
            <w:pPr>
              <w:pStyle w:val="6"/>
              <w:bidi w:val="0"/>
              <w:jc w:val="left"/>
              <w:rPr>
                <w:rStyle w:val="11"/>
                <w:rFonts w:hint="eastAsia" w:asciiTheme="minorEastAsia" w:hAnsiTheme="minorEastAsia" w:eastAsiaTheme="minorEastAsia" w:cstheme="minorEastAsia"/>
                <w:snapToGrid w:val="0"/>
                <w:color w:val="FF0000"/>
                <w:kern w:val="0"/>
                <w:sz w:val="18"/>
                <w:szCs w:val="18"/>
                <w:lang w:val="en-US" w:eastAsia="zh-CN" w:bidi="ar-SA"/>
              </w:rPr>
            </w:pPr>
            <w:r>
              <w:rPr>
                <w:rStyle w:val="11"/>
                <w:rFonts w:hint="eastAsia" w:asciiTheme="minorEastAsia" w:hAnsiTheme="minorEastAsia" w:eastAsiaTheme="minorEastAsia" w:cstheme="minorEastAsia"/>
                <w:snapToGrid w:val="0"/>
                <w:color w:val="auto"/>
                <w:kern w:val="0"/>
                <w:sz w:val="18"/>
                <w:szCs w:val="18"/>
                <w:lang w:val="en-US" w:eastAsia="zh-CN" w:bidi="ar-SA"/>
              </w:rPr>
              <w:t>GBZ/T 229.3《工作场所职业危害作业分级：高温》。</w:t>
            </w:r>
            <w:r>
              <w:rPr>
                <w:rStyle w:val="11"/>
                <w:rFonts w:hint="eastAsia" w:asciiTheme="minorEastAsia" w:hAnsiTheme="minorEastAsia" w:eastAsiaTheme="minorEastAsia" w:cstheme="minorEastAsia"/>
                <w:snapToGrid w:val="0"/>
                <w:color w:val="FF0000"/>
                <w:kern w:val="0"/>
                <w:sz w:val="18"/>
                <w:szCs w:val="18"/>
                <w:lang w:val="en-US" w:eastAsia="zh-CN" w:bidi="ar-SA"/>
              </w:rPr>
              <w:t xml:space="preserve"> </w:t>
            </w:r>
          </w:p>
          <w:p w14:paraId="1CA8D527">
            <w:pPr>
              <w:spacing w:before="52" w:line="312" w:lineRule="exact"/>
              <w:ind w:firstLine="360" w:firstLineChars="200"/>
              <w:rPr>
                <w:rStyle w:val="11"/>
                <w:rFonts w:hint="default" w:asciiTheme="minorEastAsia" w:hAnsiTheme="minorEastAsia" w:eastAsiaTheme="minorEastAsia" w:cstheme="minorEastAsia"/>
                <w:snapToGrid w:val="0"/>
                <w:color w:val="FF0000"/>
                <w:kern w:val="0"/>
                <w:sz w:val="18"/>
                <w:szCs w:val="18"/>
                <w:lang w:val="en-US" w:eastAsia="zh-CN" w:bidi="ar-SA"/>
              </w:rPr>
            </w:pPr>
          </w:p>
          <w:p w14:paraId="37CDFC9A">
            <w:pPr>
              <w:pStyle w:val="6"/>
              <w:bidi w:val="0"/>
              <w:jc w:val="left"/>
              <w:rPr>
                <w:rStyle w:val="11"/>
                <w:rFonts w:hint="default" w:asciiTheme="minorEastAsia" w:hAnsiTheme="minorEastAsia" w:eastAsiaTheme="minorEastAsia" w:cstheme="minorEastAsia"/>
                <w:color w:val="FF0000"/>
                <w:sz w:val="18"/>
                <w:szCs w:val="18"/>
                <w:lang w:val="en-US" w:eastAsia="zh-CN"/>
              </w:rPr>
            </w:pPr>
          </w:p>
        </w:tc>
      </w:tr>
      <w:tr w14:paraId="2010E6A1">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74F11BA7">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16669F1D">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7D33E0DE">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（3）弯腰捡样过于频繁</w:t>
            </w:r>
          </w:p>
        </w:tc>
        <w:tc>
          <w:tcPr>
            <w:tcW w:w="883" w:type="pct"/>
            <w:tcBorders>
              <w:tl2br w:val="nil"/>
              <w:tr2bl w:val="nil"/>
            </w:tcBorders>
            <w:shd w:val="clear" w:color="auto" w:fill="FEFEFE"/>
            <w:noWrap w:val="0"/>
            <w:vAlign w:val="center"/>
          </w:tcPr>
          <w:p w14:paraId="6058A7A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（1）造成腰部不适、腰肌老损；</w:t>
            </w:r>
          </w:p>
          <w:p w14:paraId="5746916E">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（2）遇到雨天，扔地上的棉样会沾上湿的泥土，再捡起时会弄脏手、和其他物件。</w:t>
            </w:r>
          </w:p>
          <w:p w14:paraId="6EABF1E5">
            <w:pPr>
              <w:pStyle w:val="6"/>
              <w:bidi w:val="0"/>
              <w:jc w:val="left"/>
              <w:rPr>
                <w:rStyle w:val="11"/>
                <w:rFonts w:hint="eastAsia" w:asciiTheme="minorEastAsia" w:hAnsiTheme="minorEastAsia" w:eastAsiaTheme="minorEastAsia" w:cstheme="minorEastAsia"/>
                <w:sz w:val="18"/>
                <w:szCs w:val="18"/>
                <w:lang w:val="en-US" w:eastAsia="zh-CN"/>
              </w:rPr>
            </w:pPr>
          </w:p>
        </w:tc>
        <w:tc>
          <w:tcPr>
            <w:tcW w:w="1391" w:type="pct"/>
            <w:tcBorders>
              <w:tl2br w:val="nil"/>
              <w:tr2bl w:val="nil"/>
            </w:tcBorders>
            <w:shd w:val="clear" w:color="auto" w:fill="FEFEFE"/>
            <w:noWrap w:val="0"/>
            <w:vAlign w:val="center"/>
          </w:tcPr>
          <w:p w14:paraId="5C54AC79">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（1）加强对办公室员工的职业病防治的宣传；</w:t>
            </w:r>
          </w:p>
          <w:p w14:paraId="3974DA3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（2）规定合理、规范的捡样动作；</w:t>
            </w:r>
          </w:p>
          <w:p w14:paraId="54A06DA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（3）严格控制作业时长；</w:t>
            </w:r>
          </w:p>
          <w:p w14:paraId="049E0D2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（4）同一岗位安排2人轮换工作；</w:t>
            </w:r>
          </w:p>
          <w:p w14:paraId="4EAB208D">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（5）设计制作合理、规范化的棉花公检抽样装备，避免频繁弯腰。</w:t>
            </w:r>
          </w:p>
        </w:tc>
        <w:tc>
          <w:tcPr>
            <w:tcW w:w="1412" w:type="pct"/>
            <w:tcBorders>
              <w:tl2br w:val="nil"/>
              <w:tr2bl w:val="nil"/>
            </w:tcBorders>
            <w:shd w:val="clear" w:color="auto" w:fill="FEFEFE"/>
            <w:noWrap w:val="0"/>
            <w:vAlign w:val="center"/>
          </w:tcPr>
          <w:p w14:paraId="18CB194D">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7C38AF72">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27476.7-2022《检测实验室安全第7部分:工效学因素》5.4.2k)、5.5.2b)。</w:t>
            </w:r>
          </w:p>
          <w:p w14:paraId="1A79D6FA">
            <w:pPr>
              <w:pStyle w:val="6"/>
              <w:bidi w:val="0"/>
              <w:jc w:val="left"/>
              <w:rPr>
                <w:rStyle w:val="11"/>
                <w:rFonts w:hint="eastAsia" w:asciiTheme="minorEastAsia" w:hAnsiTheme="minorEastAsia" w:eastAsiaTheme="minorEastAsia" w:cstheme="minorEastAsia"/>
                <w:sz w:val="18"/>
                <w:szCs w:val="18"/>
                <w:lang w:val="en-US" w:eastAsia="zh-CN"/>
              </w:rPr>
            </w:pPr>
          </w:p>
          <w:p w14:paraId="2BF7280A">
            <w:pPr>
              <w:pStyle w:val="6"/>
              <w:bidi w:val="0"/>
              <w:jc w:val="left"/>
              <w:rPr>
                <w:rStyle w:val="11"/>
                <w:rFonts w:hint="eastAsia" w:asciiTheme="minorEastAsia" w:hAnsiTheme="minorEastAsia" w:eastAsiaTheme="minorEastAsia" w:cstheme="minorEastAsia"/>
                <w:sz w:val="18"/>
                <w:szCs w:val="18"/>
                <w:lang w:val="en-US" w:eastAsia="zh-CN"/>
              </w:rPr>
            </w:pPr>
          </w:p>
        </w:tc>
      </w:tr>
      <w:tr w14:paraId="6F6C5F92">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1265" w:hRule="atLeast"/>
          <w:jc w:val="center"/>
        </w:trPr>
        <w:tc>
          <w:tcPr>
            <w:tcW w:w="189" w:type="pct"/>
            <w:vMerge w:val="continue"/>
            <w:tcBorders>
              <w:tl2br w:val="nil"/>
              <w:tr2bl w:val="nil"/>
            </w:tcBorders>
            <w:shd w:val="clear" w:color="auto" w:fill="FEFEFE"/>
            <w:noWrap w:val="0"/>
            <w:vAlign w:val="center"/>
          </w:tcPr>
          <w:p w14:paraId="2D9755A2">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6691EA45">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0A78ED32">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（4）长时间站立</w:t>
            </w:r>
          </w:p>
        </w:tc>
        <w:tc>
          <w:tcPr>
            <w:tcW w:w="883" w:type="pct"/>
            <w:tcBorders>
              <w:tl2br w:val="nil"/>
              <w:tr2bl w:val="nil"/>
            </w:tcBorders>
            <w:shd w:val="clear" w:color="auto" w:fill="FEFEFE"/>
            <w:noWrap w:val="0"/>
            <w:vAlign w:val="center"/>
          </w:tcPr>
          <w:p w14:paraId="7F7CC0B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（1）造成身体不适</w:t>
            </w:r>
          </w:p>
        </w:tc>
        <w:tc>
          <w:tcPr>
            <w:tcW w:w="1391" w:type="pct"/>
            <w:tcBorders>
              <w:tl2br w:val="nil"/>
              <w:tr2bl w:val="nil"/>
            </w:tcBorders>
            <w:shd w:val="clear" w:color="auto" w:fill="FEFEFE"/>
            <w:noWrap w:val="0"/>
            <w:vAlign w:val="center"/>
          </w:tcPr>
          <w:p w14:paraId="7163AD2F">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（1）为从事该项工作的人员提供方便携带椅子、凳子或者安排临时休息场所,以便他们可以稍坐片刻。</w:t>
            </w:r>
          </w:p>
        </w:tc>
        <w:tc>
          <w:tcPr>
            <w:tcW w:w="1412" w:type="pct"/>
            <w:tcBorders>
              <w:tl2br w:val="nil"/>
              <w:tr2bl w:val="nil"/>
            </w:tcBorders>
            <w:shd w:val="clear" w:color="auto" w:fill="FEFEFE"/>
            <w:noWrap w:val="0"/>
            <w:vAlign w:val="center"/>
          </w:tcPr>
          <w:p w14:paraId="58CE06F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3A58F2A6">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27476.7-2022《检测实验室安全第7部分:工效学因素》5.3.1.3h)。</w:t>
            </w:r>
          </w:p>
        </w:tc>
      </w:tr>
      <w:tr w14:paraId="3AE03A5C">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1553" w:hRule="atLeast"/>
          <w:jc w:val="center"/>
        </w:trPr>
        <w:tc>
          <w:tcPr>
            <w:tcW w:w="189" w:type="pct"/>
            <w:tcBorders>
              <w:tl2br w:val="nil"/>
              <w:tr2bl w:val="nil"/>
            </w:tcBorders>
            <w:shd w:val="clear" w:color="auto" w:fill="FEFEFE"/>
            <w:noWrap w:val="0"/>
            <w:vAlign w:val="center"/>
          </w:tcPr>
          <w:p w14:paraId="2598122F">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tcBorders>
              <w:tl2br w:val="nil"/>
              <w:tr2bl w:val="nil"/>
            </w:tcBorders>
            <w:shd w:val="clear" w:color="auto" w:fill="FEFEFE"/>
            <w:noWrap w:val="0"/>
            <w:vAlign w:val="center"/>
          </w:tcPr>
          <w:p w14:paraId="38D1192D">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top"/>
          </w:tcPr>
          <w:p w14:paraId="268CD7FC">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(5)因户外作业如厕不便，尤其女同志3-4小时不能喝水。</w:t>
            </w:r>
          </w:p>
        </w:tc>
        <w:tc>
          <w:tcPr>
            <w:tcW w:w="883" w:type="pct"/>
            <w:tcBorders>
              <w:tl2br w:val="nil"/>
              <w:tr2bl w:val="nil"/>
            </w:tcBorders>
            <w:shd w:val="clear" w:color="auto" w:fill="FEFEFE"/>
            <w:noWrap w:val="0"/>
            <w:vAlign w:val="top"/>
          </w:tcPr>
          <w:p w14:paraId="424A883F">
            <w:pPr>
              <w:pStyle w:val="9"/>
              <w:keepNext w:val="0"/>
              <w:keepLines w:val="0"/>
              <w:widowControl/>
              <w:suppressLineNumbers w:val="0"/>
              <w:spacing w:before="536" w:beforeAutospacing="0" w:after="294" w:afterAutospacing="0" w:line="24" w:lineRule="atLeast"/>
              <w:ind w:left="0" w:right="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1）身体易疲惫；</w:t>
            </w:r>
          </w:p>
          <w:p w14:paraId="07D40F16">
            <w:pPr>
              <w:pStyle w:val="9"/>
              <w:keepNext w:val="0"/>
              <w:keepLines w:val="0"/>
              <w:widowControl/>
              <w:suppressLineNumbers w:val="0"/>
              <w:spacing w:before="536" w:beforeAutospacing="0" w:after="294" w:afterAutospacing="0" w:line="24" w:lineRule="atLeast"/>
              <w:ind w:left="0" w:right="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2）皮肤干燥；</w:t>
            </w:r>
          </w:p>
          <w:p w14:paraId="610C2B2E">
            <w:pPr>
              <w:pStyle w:val="9"/>
              <w:keepNext w:val="0"/>
              <w:keepLines w:val="0"/>
              <w:widowControl/>
              <w:suppressLineNumbers w:val="0"/>
              <w:spacing w:before="536" w:beforeAutospacing="0" w:after="294" w:afterAutospacing="0" w:line="24" w:lineRule="atLeast"/>
              <w:ind w:left="0" w:right="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3）导致肝脏、心血管、肠道等疾病。</w:t>
            </w:r>
          </w:p>
        </w:tc>
        <w:tc>
          <w:tcPr>
            <w:tcW w:w="1391" w:type="pct"/>
            <w:tcBorders>
              <w:tl2br w:val="nil"/>
              <w:tr2bl w:val="nil"/>
            </w:tcBorders>
            <w:shd w:val="clear" w:color="auto" w:fill="FEFEFE"/>
            <w:noWrap w:val="0"/>
            <w:vAlign w:val="top"/>
          </w:tcPr>
          <w:p w14:paraId="065A06FF">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1）在露天仓库开展棉花公检 工作前应根据仓库区域大小及作业活动区间的实际，应合理配置并搭建一定数量的临时简易帐篷方便检验人员饮水和如厕；</w:t>
            </w:r>
          </w:p>
          <w:p w14:paraId="1782A4B3">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2）根据现场实际规范每日检验人员热量、饮用水供给及供给方法。（每人热量供应应达到4500卡，饮用水达到3-5升）。</w:t>
            </w:r>
          </w:p>
          <w:p w14:paraId="16DA6328">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3）建立现场饮水、卫生管理制度，设立专人负责管理，确保饮水安全与现场卫生环境。</w:t>
            </w:r>
          </w:p>
        </w:tc>
        <w:tc>
          <w:tcPr>
            <w:tcW w:w="1412" w:type="pct"/>
            <w:tcBorders>
              <w:tl2br w:val="nil"/>
              <w:tr2bl w:val="nil"/>
            </w:tcBorders>
            <w:shd w:val="clear" w:color="auto" w:fill="FEFEFE"/>
            <w:noWrap w:val="0"/>
            <w:vAlign w:val="top"/>
          </w:tcPr>
          <w:p w14:paraId="148D031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512E4253">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27476.7-2022《检测实验室安全第7部分:工效学因素》5.1.3 b)；</w:t>
            </w:r>
          </w:p>
          <w:p w14:paraId="3BAE118F">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《高寒环境野外作业 HSE 管理防冻程序》3.2第4条。</w:t>
            </w:r>
          </w:p>
        </w:tc>
      </w:tr>
      <w:tr w14:paraId="1D00A99A">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restart"/>
            <w:tcBorders>
              <w:tl2br w:val="nil"/>
              <w:tr2bl w:val="nil"/>
            </w:tcBorders>
            <w:shd w:val="clear" w:color="auto" w:fill="FEFEFE"/>
            <w:noWrap w:val="0"/>
            <w:vAlign w:val="center"/>
          </w:tcPr>
          <w:p w14:paraId="5BD86A0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w:t>
            </w:r>
          </w:p>
        </w:tc>
        <w:tc>
          <w:tcPr>
            <w:tcW w:w="470" w:type="pct"/>
            <w:vMerge w:val="restart"/>
            <w:tcBorders>
              <w:tl2br w:val="nil"/>
              <w:tr2bl w:val="nil"/>
            </w:tcBorders>
            <w:shd w:val="clear" w:color="auto" w:fill="FEFEFE"/>
            <w:noWrap w:val="0"/>
            <w:vAlign w:val="center"/>
          </w:tcPr>
          <w:p w14:paraId="4B66D90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条码扫描、回潮率检验</w:t>
            </w:r>
          </w:p>
        </w:tc>
        <w:tc>
          <w:tcPr>
            <w:tcW w:w="651" w:type="pct"/>
            <w:tcBorders>
              <w:tl2br w:val="nil"/>
              <w:tr2bl w:val="nil"/>
            </w:tcBorders>
            <w:shd w:val="clear" w:color="auto" w:fill="FEFEFE"/>
            <w:noWrap w:val="0"/>
            <w:vAlign w:val="center"/>
          </w:tcPr>
          <w:p w14:paraId="239A501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（1）未掌握操作机巧，用力过于频繁</w:t>
            </w:r>
          </w:p>
        </w:tc>
        <w:tc>
          <w:tcPr>
            <w:tcW w:w="883" w:type="pct"/>
            <w:tcBorders>
              <w:tl2br w:val="nil"/>
              <w:tr2bl w:val="nil"/>
            </w:tcBorders>
            <w:shd w:val="clear" w:color="auto" w:fill="FEFEFE"/>
            <w:noWrap w:val="0"/>
            <w:vAlign w:val="center"/>
          </w:tcPr>
          <w:p w14:paraId="1302F42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（1）造成手、臂肌肉酸痛</w:t>
            </w:r>
          </w:p>
        </w:tc>
        <w:tc>
          <w:tcPr>
            <w:tcW w:w="1391" w:type="pct"/>
            <w:vMerge w:val="restart"/>
            <w:tcBorders>
              <w:tl2br w:val="nil"/>
              <w:tr2bl w:val="nil"/>
            </w:tcBorders>
            <w:shd w:val="clear" w:color="auto" w:fill="FEFEFE"/>
            <w:noWrap w:val="0"/>
            <w:vAlign w:val="center"/>
          </w:tcPr>
          <w:p w14:paraId="6A1BC76A">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（1）安排较年轻力强的人选从事该项工作；</w:t>
            </w:r>
          </w:p>
          <w:p w14:paraId="5968739D">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（2）加强岗前培训考核，合格上岗；</w:t>
            </w:r>
          </w:p>
          <w:p w14:paraId="05CDFF6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（3）严格控制作业时长；</w:t>
            </w:r>
          </w:p>
          <w:p w14:paraId="678CCF9A">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（4）必要时定时轮换工作。</w:t>
            </w:r>
          </w:p>
          <w:p w14:paraId="5144F4EB">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（5）配置防刺伤工装围裙。</w:t>
            </w:r>
          </w:p>
        </w:tc>
        <w:tc>
          <w:tcPr>
            <w:tcW w:w="1412" w:type="pct"/>
            <w:vMerge w:val="restart"/>
            <w:tcBorders>
              <w:tl2br w:val="nil"/>
              <w:tr2bl w:val="nil"/>
            </w:tcBorders>
            <w:shd w:val="clear" w:color="auto" w:fill="FEFEFE"/>
            <w:noWrap w:val="0"/>
            <w:vAlign w:val="center"/>
          </w:tcPr>
          <w:p w14:paraId="01D1055E">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tc>
      </w:tr>
      <w:tr w14:paraId="64C17772">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42D0D121">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64AE23FC">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18B8773E">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（2）疲劳作业，测水器插针未及时归位，在棉包堆狭缝中穿行</w:t>
            </w:r>
          </w:p>
        </w:tc>
        <w:tc>
          <w:tcPr>
            <w:tcW w:w="883" w:type="pct"/>
            <w:tcBorders>
              <w:tl2br w:val="nil"/>
              <w:tr2bl w:val="nil"/>
            </w:tcBorders>
            <w:shd w:val="clear" w:color="auto" w:fill="FEFEFE"/>
            <w:noWrap w:val="0"/>
            <w:vAlign w:val="center"/>
          </w:tcPr>
          <w:p w14:paraId="458FFE0E">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（1）针头污伤到人</w:t>
            </w:r>
          </w:p>
        </w:tc>
        <w:tc>
          <w:tcPr>
            <w:tcW w:w="1391" w:type="pct"/>
            <w:vMerge w:val="continue"/>
            <w:tcBorders>
              <w:tl2br w:val="nil"/>
              <w:tr2bl w:val="nil"/>
            </w:tcBorders>
            <w:shd w:val="clear" w:color="auto" w:fill="FEFEFE"/>
            <w:noWrap w:val="0"/>
            <w:vAlign w:val="center"/>
          </w:tcPr>
          <w:p w14:paraId="3B9728B4">
            <w:pPr>
              <w:pStyle w:val="6"/>
              <w:bidi w:val="0"/>
              <w:jc w:val="left"/>
              <w:rPr>
                <w:rStyle w:val="11"/>
                <w:rFonts w:hint="eastAsia" w:asciiTheme="minorEastAsia" w:hAnsiTheme="minorEastAsia" w:eastAsiaTheme="minorEastAsia" w:cstheme="minorEastAsia"/>
                <w:sz w:val="18"/>
                <w:szCs w:val="18"/>
                <w:lang w:val="en-US" w:eastAsia="zh-CN"/>
              </w:rPr>
            </w:pPr>
          </w:p>
        </w:tc>
        <w:tc>
          <w:tcPr>
            <w:tcW w:w="1412" w:type="pct"/>
            <w:vMerge w:val="continue"/>
            <w:tcBorders>
              <w:tl2br w:val="nil"/>
              <w:tr2bl w:val="nil"/>
            </w:tcBorders>
            <w:shd w:val="clear" w:color="auto" w:fill="FEFEFE"/>
            <w:noWrap w:val="0"/>
            <w:vAlign w:val="center"/>
          </w:tcPr>
          <w:p w14:paraId="6136C55F">
            <w:pPr>
              <w:pStyle w:val="6"/>
              <w:bidi w:val="0"/>
              <w:jc w:val="left"/>
              <w:rPr>
                <w:rStyle w:val="11"/>
                <w:rFonts w:hint="eastAsia" w:asciiTheme="minorEastAsia" w:hAnsiTheme="minorEastAsia" w:eastAsiaTheme="minorEastAsia" w:cstheme="minorEastAsia"/>
                <w:sz w:val="18"/>
                <w:szCs w:val="18"/>
                <w:lang w:val="en-US" w:eastAsia="zh-CN"/>
              </w:rPr>
            </w:pPr>
          </w:p>
        </w:tc>
      </w:tr>
      <w:tr w14:paraId="50957E6C">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318E4784">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3DD25914">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10E89943">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（2）低温作业时间太长</w:t>
            </w:r>
          </w:p>
        </w:tc>
        <w:tc>
          <w:tcPr>
            <w:tcW w:w="883" w:type="pct"/>
            <w:tcBorders>
              <w:tl2br w:val="nil"/>
              <w:tr2bl w:val="nil"/>
            </w:tcBorders>
            <w:shd w:val="clear" w:color="auto" w:fill="FEFEFE"/>
            <w:noWrap w:val="0"/>
            <w:vAlign w:val="center"/>
          </w:tcPr>
          <w:p w14:paraId="534E913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 xml:space="preserve"> 同上2(1)</w:t>
            </w:r>
          </w:p>
        </w:tc>
        <w:tc>
          <w:tcPr>
            <w:tcW w:w="1391" w:type="pct"/>
            <w:tcBorders>
              <w:tl2br w:val="nil"/>
              <w:tr2bl w:val="nil"/>
            </w:tcBorders>
            <w:shd w:val="clear" w:color="auto" w:fill="FEFEFE"/>
            <w:noWrap w:val="0"/>
            <w:vAlign w:val="center"/>
          </w:tcPr>
          <w:p w14:paraId="37CD94F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同上2(1)</w:t>
            </w:r>
          </w:p>
        </w:tc>
        <w:tc>
          <w:tcPr>
            <w:tcW w:w="1412" w:type="pct"/>
            <w:tcBorders>
              <w:tl2br w:val="nil"/>
              <w:tr2bl w:val="nil"/>
            </w:tcBorders>
            <w:shd w:val="clear" w:color="auto" w:fill="FEFEFE"/>
            <w:noWrap w:val="0"/>
            <w:vAlign w:val="center"/>
          </w:tcPr>
          <w:p w14:paraId="218068F0">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同上2（1）</w:t>
            </w:r>
          </w:p>
        </w:tc>
      </w:tr>
      <w:tr w14:paraId="6C0404A8">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4CC3F18A">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23458EBE">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183AD16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（3）长时间站立</w:t>
            </w:r>
          </w:p>
        </w:tc>
        <w:tc>
          <w:tcPr>
            <w:tcW w:w="883" w:type="pct"/>
            <w:tcBorders>
              <w:tl2br w:val="nil"/>
              <w:tr2bl w:val="nil"/>
            </w:tcBorders>
            <w:shd w:val="clear" w:color="auto" w:fill="FEFEFE"/>
            <w:noWrap w:val="0"/>
            <w:vAlign w:val="center"/>
          </w:tcPr>
          <w:p w14:paraId="405AA5AC">
            <w:pPr>
              <w:pStyle w:val="6"/>
              <w:bidi w:val="0"/>
              <w:jc w:val="left"/>
              <w:rPr>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z w:val="18"/>
                <w:szCs w:val="18"/>
                <w:lang w:val="en-US" w:eastAsia="zh-CN"/>
              </w:rPr>
              <w:t xml:space="preserve"> 同上2(3)</w:t>
            </w:r>
          </w:p>
        </w:tc>
        <w:tc>
          <w:tcPr>
            <w:tcW w:w="1391" w:type="pct"/>
            <w:tcBorders>
              <w:tl2br w:val="nil"/>
              <w:tr2bl w:val="nil"/>
            </w:tcBorders>
            <w:shd w:val="clear" w:color="auto" w:fill="FEFEFE"/>
            <w:noWrap w:val="0"/>
            <w:vAlign w:val="center"/>
          </w:tcPr>
          <w:p w14:paraId="46133365">
            <w:pPr>
              <w:pStyle w:val="6"/>
              <w:bidi w:val="0"/>
              <w:jc w:val="left"/>
              <w:rPr>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z w:val="18"/>
                <w:szCs w:val="18"/>
                <w:lang w:val="en-US" w:eastAsia="zh-CN"/>
              </w:rPr>
              <w:t>同上2(3)</w:t>
            </w:r>
          </w:p>
        </w:tc>
        <w:tc>
          <w:tcPr>
            <w:tcW w:w="1412" w:type="pct"/>
            <w:tcBorders>
              <w:tl2br w:val="nil"/>
              <w:tr2bl w:val="nil"/>
            </w:tcBorders>
            <w:shd w:val="clear" w:color="auto" w:fill="FEFEFE"/>
            <w:noWrap w:val="0"/>
            <w:vAlign w:val="center"/>
          </w:tcPr>
          <w:p w14:paraId="7B5B89C0">
            <w:pPr>
              <w:pStyle w:val="6"/>
              <w:bidi w:val="0"/>
              <w:jc w:val="left"/>
              <w:rPr>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z w:val="18"/>
                <w:szCs w:val="18"/>
                <w:lang w:val="en-US" w:eastAsia="zh-CN"/>
              </w:rPr>
              <w:t>同上2（3）</w:t>
            </w:r>
          </w:p>
        </w:tc>
      </w:tr>
      <w:tr w14:paraId="212FA04F">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restart"/>
            <w:tcBorders>
              <w:tl2br w:val="nil"/>
              <w:tr2bl w:val="nil"/>
            </w:tcBorders>
            <w:shd w:val="clear" w:color="auto" w:fill="FEFEFE"/>
            <w:noWrap w:val="0"/>
            <w:vAlign w:val="center"/>
          </w:tcPr>
          <w:p w14:paraId="16F7909E">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w:t>
            </w:r>
          </w:p>
        </w:tc>
        <w:tc>
          <w:tcPr>
            <w:tcW w:w="470" w:type="pct"/>
            <w:vMerge w:val="restart"/>
            <w:tcBorders>
              <w:tl2br w:val="nil"/>
              <w:tr2bl w:val="nil"/>
            </w:tcBorders>
            <w:shd w:val="clear" w:color="auto" w:fill="FEFEFE"/>
            <w:noWrap w:val="0"/>
            <w:vAlign w:val="center"/>
          </w:tcPr>
          <w:p w14:paraId="1D8784AA">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杂质检验</w:t>
            </w:r>
          </w:p>
        </w:tc>
        <w:tc>
          <w:tcPr>
            <w:tcW w:w="651" w:type="pct"/>
            <w:tcBorders>
              <w:tl2br w:val="nil"/>
              <w:tr2bl w:val="nil"/>
            </w:tcBorders>
            <w:shd w:val="clear" w:color="auto" w:fill="FEFEFE"/>
            <w:noWrap w:val="0"/>
            <w:vAlign w:val="center"/>
          </w:tcPr>
          <w:p w14:paraId="0BBFDB68">
            <w:pPr>
              <w:pStyle w:val="6"/>
              <w:bidi w:val="0"/>
              <w:jc w:val="both"/>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（1）长期在棉尘环境</w:t>
            </w:r>
          </w:p>
        </w:tc>
        <w:tc>
          <w:tcPr>
            <w:tcW w:w="883" w:type="pct"/>
            <w:tcBorders>
              <w:tl2br w:val="nil"/>
              <w:tr2bl w:val="nil"/>
            </w:tcBorders>
            <w:shd w:val="clear" w:color="auto" w:fill="FEFEFE"/>
            <w:noWrap w:val="0"/>
            <w:vAlign w:val="center"/>
          </w:tcPr>
          <w:p w14:paraId="0B31CEB6">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(1）吸入棉尘</w:t>
            </w:r>
          </w:p>
          <w:p w14:paraId="4CF42A78">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（2）容易患棉尘病</w:t>
            </w:r>
          </w:p>
        </w:tc>
        <w:tc>
          <w:tcPr>
            <w:tcW w:w="1391" w:type="pct"/>
            <w:tcBorders>
              <w:tl2br w:val="nil"/>
              <w:tr2bl w:val="nil"/>
            </w:tcBorders>
            <w:shd w:val="clear" w:color="auto" w:fill="FEFEFE"/>
            <w:noWrap w:val="0"/>
            <w:vAlign w:val="center"/>
          </w:tcPr>
          <w:p w14:paraId="69B0F091">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（1）要求操作人员严格佩戴防尘口罩；</w:t>
            </w:r>
          </w:p>
          <w:p w14:paraId="31C8E65F">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（2）加强设备的维护保养工作，确认工作环境处于正常状态；</w:t>
            </w:r>
          </w:p>
          <w:p w14:paraId="48D7601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（3）定期开展空气中PM2.5监测，确保工作场所空气质量稳定在一定范围。</w:t>
            </w:r>
          </w:p>
          <w:p w14:paraId="1A95C0D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（4）用人单位应当落实对接尘人员用工前后的健康检查。</w:t>
            </w:r>
          </w:p>
        </w:tc>
        <w:tc>
          <w:tcPr>
            <w:tcW w:w="1412" w:type="pct"/>
            <w:tcBorders>
              <w:tl2br w:val="nil"/>
              <w:tr2bl w:val="nil"/>
            </w:tcBorders>
            <w:shd w:val="clear" w:color="auto" w:fill="FEFEFE"/>
            <w:noWrap w:val="0"/>
            <w:vAlign w:val="center"/>
          </w:tcPr>
          <w:p w14:paraId="74AE053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2F55DB8B">
            <w:pPr>
              <w:pStyle w:val="6"/>
              <w:bidi w:val="0"/>
              <w:jc w:val="left"/>
              <w:rPr>
                <w:rFonts w:hint="eastAsia" w:asciiTheme="minorEastAsia" w:hAnsiTheme="minorEastAsia" w:eastAsiaTheme="minorEastAsia" w:cstheme="minorEastAsia"/>
                <w:szCs w:val="18"/>
                <w:lang w:val="en-US" w:eastAsia="zh-CN"/>
              </w:rPr>
            </w:pPr>
            <w:r>
              <w:rPr>
                <w:rStyle w:val="11"/>
                <w:rFonts w:hint="eastAsia" w:asciiTheme="minorEastAsia" w:hAnsiTheme="minorEastAsia" w:eastAsiaTheme="minorEastAsia" w:cstheme="minorEastAsia"/>
                <w:sz w:val="18"/>
                <w:szCs w:val="18"/>
                <w:lang w:val="en-US" w:eastAsia="zh-CN"/>
              </w:rPr>
              <w:t>《职业病危害因素分类目</w:t>
            </w:r>
            <w:r>
              <w:rPr>
                <w:rStyle w:val="11"/>
                <w:rFonts w:hint="eastAsia" w:asciiTheme="minorEastAsia" w:hAnsiTheme="minorEastAsia" w:eastAsiaTheme="minorEastAsia" w:cstheme="minorEastAsia"/>
                <w:b w:val="0"/>
                <w:bCs w:val="0"/>
                <w:snapToGrid w:val="0"/>
                <w:color w:val="000000"/>
                <w:kern w:val="0"/>
                <w:sz w:val="18"/>
                <w:szCs w:val="18"/>
                <w:lang w:val="en-US" w:eastAsia="zh-CN" w:bidi="ar-SA"/>
              </w:rPr>
              <w:t>录》一、粉尘序号31棉尘；</w:t>
            </w:r>
          </w:p>
          <w:p w14:paraId="30F00EE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rPr>
              <w:t>AQ 7002《纺织工业企业安全管理规范</w:t>
            </w:r>
            <w:r>
              <w:rPr>
                <w:rStyle w:val="11"/>
                <w:rFonts w:hint="eastAsia" w:asciiTheme="minorEastAsia" w:hAnsiTheme="minorEastAsia" w:eastAsiaTheme="minorEastAsia" w:cstheme="minorEastAsia"/>
                <w:sz w:val="18"/>
                <w:szCs w:val="18"/>
                <w:lang w:val="zh-TW"/>
              </w:rPr>
              <w:t>》</w:t>
            </w:r>
            <w:r>
              <w:rPr>
                <w:rStyle w:val="11"/>
                <w:rFonts w:hint="eastAsia" w:asciiTheme="minorEastAsia" w:hAnsiTheme="minorEastAsia" w:eastAsiaTheme="minorEastAsia" w:cstheme="minorEastAsia"/>
                <w:sz w:val="18"/>
                <w:szCs w:val="18"/>
                <w:lang w:val="en-US" w:eastAsia="zh-CN"/>
              </w:rPr>
              <w:t>15.1</w:t>
            </w:r>
          </w:p>
          <w:p w14:paraId="0B72CF05">
            <w:pPr>
              <w:pStyle w:val="6"/>
              <w:bidi w:val="0"/>
              <w:jc w:val="left"/>
              <w:rPr>
                <w:rStyle w:val="11"/>
                <w:rFonts w:hint="eastAsia" w:asciiTheme="minorEastAsia" w:hAnsiTheme="minorEastAsia" w:eastAsiaTheme="minorEastAsia" w:cstheme="minorEastAsia"/>
                <w:sz w:val="18"/>
                <w:szCs w:val="18"/>
              </w:rPr>
            </w:pPr>
          </w:p>
        </w:tc>
      </w:tr>
      <w:tr w14:paraId="7C20D59F">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7D4B4137">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431D7C00">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781E0A0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w:t>
            </w:r>
            <w:r>
              <w:rPr>
                <w:rStyle w:val="11"/>
                <w:rFonts w:hint="eastAsia" w:asciiTheme="minorEastAsia" w:hAnsiTheme="minorEastAsia" w:eastAsiaTheme="minorEastAsia" w:cstheme="minorEastAsia"/>
                <w:sz w:val="18"/>
                <w:szCs w:val="18"/>
              </w:rPr>
              <w:t>开松过程打击金属 块、丝等杂物产生金 属火花</w:t>
            </w:r>
            <w:r>
              <w:rPr>
                <w:rStyle w:val="11"/>
                <w:rFonts w:hint="eastAsia" w:asciiTheme="minorEastAsia" w:hAnsiTheme="minorEastAsia" w:eastAsiaTheme="minorEastAsia" w:cstheme="minorEastAsia"/>
                <w:sz w:val="18"/>
                <w:szCs w:val="18"/>
                <w:lang w:val="en-US" w:eastAsia="zh-CN"/>
              </w:rPr>
              <w:t>；</w:t>
            </w:r>
            <w:r>
              <w:rPr>
                <w:rStyle w:val="11"/>
                <w:rFonts w:hint="eastAsia" w:asciiTheme="minorEastAsia" w:hAnsiTheme="minorEastAsia" w:eastAsiaTheme="minorEastAsia" w:cstheme="minorEastAsia"/>
                <w:sz w:val="18"/>
                <w:szCs w:val="18"/>
              </w:rPr>
              <w:t>电气火花、违章动 火和吸烟等点火源；原料缠绕转动轴发热等引发火灾。</w:t>
            </w:r>
          </w:p>
        </w:tc>
        <w:tc>
          <w:tcPr>
            <w:tcW w:w="883" w:type="pct"/>
            <w:tcBorders>
              <w:tl2br w:val="nil"/>
              <w:tr2bl w:val="nil"/>
            </w:tcBorders>
            <w:shd w:val="clear" w:color="auto" w:fill="FEFEFE"/>
            <w:noWrap w:val="0"/>
            <w:vAlign w:val="center"/>
          </w:tcPr>
          <w:p w14:paraId="665FEC54">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（1）</w:t>
            </w:r>
            <w:r>
              <w:rPr>
                <w:rStyle w:val="11"/>
                <w:rFonts w:hint="eastAsia" w:asciiTheme="minorEastAsia" w:hAnsiTheme="minorEastAsia" w:eastAsiaTheme="minorEastAsia" w:cstheme="minorEastAsia"/>
                <w:sz w:val="18"/>
                <w:szCs w:val="18"/>
              </w:rPr>
              <w:t>火灾</w:t>
            </w:r>
          </w:p>
          <w:p w14:paraId="7741EA2F">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w:t>
            </w:r>
            <w:r>
              <w:rPr>
                <w:rStyle w:val="11"/>
                <w:rFonts w:hint="eastAsia" w:asciiTheme="minorEastAsia" w:hAnsiTheme="minorEastAsia" w:eastAsiaTheme="minorEastAsia" w:cstheme="minorEastAsia"/>
                <w:sz w:val="18"/>
                <w:szCs w:val="18"/>
              </w:rPr>
              <w:t>中毒和窒息</w:t>
            </w:r>
          </w:p>
        </w:tc>
        <w:tc>
          <w:tcPr>
            <w:tcW w:w="1391" w:type="pct"/>
            <w:tcBorders>
              <w:tl2br w:val="nil"/>
              <w:tr2bl w:val="nil"/>
            </w:tcBorders>
            <w:shd w:val="clear" w:color="auto" w:fill="FEFEFE"/>
            <w:noWrap w:val="0"/>
            <w:vAlign w:val="center"/>
          </w:tcPr>
          <w:p w14:paraId="0CCD0824">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(1)铺棉时</w:t>
            </w:r>
            <w:r>
              <w:rPr>
                <w:rStyle w:val="11"/>
                <w:rFonts w:hint="eastAsia" w:asciiTheme="minorEastAsia" w:hAnsiTheme="minorEastAsia" w:eastAsiaTheme="minorEastAsia" w:cstheme="minorEastAsia"/>
                <w:sz w:val="18"/>
                <w:szCs w:val="18"/>
              </w:rPr>
              <w:t>排除金属杂物</w:t>
            </w:r>
            <w:r>
              <w:rPr>
                <w:rStyle w:val="11"/>
                <w:rFonts w:hint="eastAsia" w:asciiTheme="minorEastAsia" w:hAnsiTheme="minorEastAsia" w:eastAsiaTheme="minorEastAsia" w:cstheme="minorEastAsia"/>
                <w:sz w:val="18"/>
                <w:szCs w:val="18"/>
                <w:lang w:val="en-US" w:eastAsia="zh-CN"/>
              </w:rPr>
              <w:t>；可能的条件下</w:t>
            </w:r>
            <w:r>
              <w:rPr>
                <w:rStyle w:val="11"/>
                <w:rFonts w:hint="eastAsia" w:asciiTheme="minorEastAsia" w:hAnsiTheme="minorEastAsia" w:eastAsiaTheme="minorEastAsia" w:cstheme="minorEastAsia"/>
                <w:sz w:val="18"/>
                <w:szCs w:val="18"/>
              </w:rPr>
              <w:t>安装强力磁辊，</w:t>
            </w:r>
            <w:r>
              <w:rPr>
                <w:rStyle w:val="11"/>
                <w:rFonts w:hint="eastAsia" w:asciiTheme="minorEastAsia" w:hAnsiTheme="minorEastAsia" w:eastAsiaTheme="minorEastAsia" w:cstheme="minorEastAsia"/>
                <w:sz w:val="18"/>
                <w:szCs w:val="18"/>
                <w:lang w:val="en-US" w:eastAsia="zh-CN"/>
              </w:rPr>
              <w:t xml:space="preserve"> </w:t>
            </w:r>
            <w:r>
              <w:rPr>
                <w:rStyle w:val="11"/>
                <w:rFonts w:hint="eastAsia" w:asciiTheme="minorEastAsia" w:hAnsiTheme="minorEastAsia" w:eastAsiaTheme="minorEastAsia" w:cstheme="minorEastAsia"/>
                <w:sz w:val="18"/>
                <w:szCs w:val="18"/>
              </w:rPr>
              <w:t>将打开、扯松的原料中的金属杂物排除；</w:t>
            </w:r>
          </w:p>
          <w:p w14:paraId="2EF3ED6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w:t>
            </w:r>
            <w:r>
              <w:rPr>
                <w:rStyle w:val="11"/>
                <w:rFonts w:hint="eastAsia" w:asciiTheme="minorEastAsia" w:hAnsiTheme="minorEastAsia" w:eastAsiaTheme="minorEastAsia" w:cstheme="minorEastAsia"/>
                <w:sz w:val="18"/>
                <w:szCs w:val="18"/>
              </w:rPr>
              <w:t>控制与消除火源：严禁违章吸烟或外来火种进</w:t>
            </w:r>
            <w:r>
              <w:rPr>
                <w:rStyle w:val="11"/>
                <w:rFonts w:hint="eastAsia" w:asciiTheme="minorEastAsia" w:hAnsiTheme="minorEastAsia" w:eastAsiaTheme="minorEastAsia" w:cstheme="minorEastAsia"/>
                <w:sz w:val="18"/>
                <w:szCs w:val="18"/>
                <w:lang w:val="en-US" w:eastAsia="zh-CN"/>
              </w:rPr>
              <w:t>入；（3）</w:t>
            </w:r>
            <w:r>
              <w:rPr>
                <w:rStyle w:val="11"/>
                <w:rFonts w:hint="eastAsia" w:asciiTheme="minorEastAsia" w:hAnsiTheme="minorEastAsia" w:eastAsiaTheme="minorEastAsia" w:cstheme="minorEastAsia"/>
                <w:sz w:val="18"/>
                <w:szCs w:val="18"/>
              </w:rPr>
              <w:t>按规定配备灭火器材并定期维护和检测其性能</w:t>
            </w:r>
            <w:r>
              <w:rPr>
                <w:rStyle w:val="11"/>
                <w:rFonts w:hint="eastAsia" w:asciiTheme="minorEastAsia" w:hAnsiTheme="minorEastAsia" w:eastAsiaTheme="minorEastAsia" w:cstheme="minorEastAsia"/>
                <w:sz w:val="18"/>
                <w:szCs w:val="18"/>
                <w:lang w:val="en-US" w:eastAsia="zh-CN"/>
              </w:rPr>
              <w:t>；</w:t>
            </w:r>
          </w:p>
          <w:p w14:paraId="7AEC2F4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w:t>
            </w:r>
            <w:r>
              <w:rPr>
                <w:rStyle w:val="11"/>
                <w:rFonts w:hint="eastAsia" w:asciiTheme="minorEastAsia" w:hAnsiTheme="minorEastAsia" w:eastAsiaTheme="minorEastAsia" w:cstheme="minorEastAsia"/>
                <w:sz w:val="18"/>
                <w:szCs w:val="18"/>
              </w:rPr>
              <w:t>安装火灾自动报警和喷淋等系统</w:t>
            </w:r>
            <w:r>
              <w:rPr>
                <w:rStyle w:val="11"/>
                <w:rFonts w:hint="eastAsia" w:asciiTheme="minorEastAsia" w:hAnsiTheme="minorEastAsia" w:eastAsiaTheme="minorEastAsia" w:cstheme="minorEastAsia"/>
                <w:sz w:val="18"/>
                <w:szCs w:val="18"/>
                <w:lang w:eastAsia="zh-CN"/>
              </w:rPr>
              <w:t>。</w:t>
            </w:r>
          </w:p>
        </w:tc>
        <w:tc>
          <w:tcPr>
            <w:tcW w:w="1412" w:type="pct"/>
            <w:vMerge w:val="restart"/>
            <w:tcBorders>
              <w:tl2br w:val="nil"/>
              <w:tr2bl w:val="nil"/>
            </w:tcBorders>
            <w:shd w:val="clear" w:color="auto" w:fill="FEFEFE"/>
            <w:noWrap w:val="0"/>
            <w:vAlign w:val="center"/>
          </w:tcPr>
          <w:p w14:paraId="6B8162E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 xml:space="preserve">《纺织工业企业安全管 </w:t>
            </w:r>
          </w:p>
          <w:p w14:paraId="05D0162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 xml:space="preserve">理规范》（ＡＱ ７００２） </w:t>
            </w:r>
          </w:p>
          <w:p w14:paraId="7A25B66F">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 xml:space="preserve">《棉纺织企业安全检验 </w:t>
            </w:r>
          </w:p>
          <w:p w14:paraId="08EA036C">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规程》（ＡＱ ７００３）</w:t>
            </w:r>
          </w:p>
          <w:p w14:paraId="60F00287">
            <w:pPr>
              <w:pStyle w:val="6"/>
              <w:bidi w:val="0"/>
              <w:jc w:val="left"/>
              <w:rPr>
                <w:rStyle w:val="11"/>
                <w:rFonts w:hint="eastAsia" w:asciiTheme="minorEastAsia" w:hAnsiTheme="minorEastAsia" w:eastAsiaTheme="minorEastAsia" w:cstheme="minorEastAsia"/>
                <w:sz w:val="18"/>
                <w:szCs w:val="18"/>
                <w:lang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rPr>
              <w:t>纺织行业较大危险因素辨识与方法指导手册</w:t>
            </w:r>
            <w:r>
              <w:rPr>
                <w:rStyle w:val="11"/>
                <w:rFonts w:hint="eastAsia" w:asciiTheme="minorEastAsia" w:hAnsiTheme="minorEastAsia" w:eastAsiaTheme="minorEastAsia" w:cstheme="minorEastAsia"/>
                <w:sz w:val="18"/>
                <w:szCs w:val="18"/>
                <w:lang w:eastAsia="zh-CN"/>
              </w:rPr>
              <w:t>》。</w:t>
            </w:r>
          </w:p>
        </w:tc>
      </w:tr>
      <w:tr w14:paraId="680E9296">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2049B7A5">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5933A23B">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3A445D7E">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3）低压</w:t>
            </w:r>
            <w:r>
              <w:rPr>
                <w:rStyle w:val="11"/>
                <w:rFonts w:hint="eastAsia" w:asciiTheme="minorEastAsia" w:hAnsiTheme="minorEastAsia" w:eastAsiaTheme="minorEastAsia" w:cstheme="minorEastAsia"/>
                <w:sz w:val="18"/>
                <w:szCs w:val="18"/>
              </w:rPr>
              <w:t>电气线路违规安 装；用电负荷过载。</w:t>
            </w:r>
          </w:p>
        </w:tc>
        <w:tc>
          <w:tcPr>
            <w:tcW w:w="883" w:type="pct"/>
            <w:tcBorders>
              <w:tl2br w:val="nil"/>
              <w:tr2bl w:val="nil"/>
            </w:tcBorders>
            <w:shd w:val="clear" w:color="auto" w:fill="FEFEFE"/>
            <w:noWrap w:val="0"/>
            <w:vAlign w:val="center"/>
          </w:tcPr>
          <w:p w14:paraId="222C18EF">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w:t>
            </w:r>
            <w:r>
              <w:rPr>
                <w:rStyle w:val="11"/>
                <w:rFonts w:hint="eastAsia" w:asciiTheme="minorEastAsia" w:hAnsiTheme="minorEastAsia" w:eastAsiaTheme="minorEastAsia" w:cstheme="minorEastAsia"/>
                <w:sz w:val="18"/>
                <w:szCs w:val="18"/>
              </w:rPr>
              <w:t>触电</w:t>
            </w:r>
          </w:p>
          <w:p w14:paraId="30C0A652">
            <w:pPr>
              <w:pStyle w:val="6"/>
              <w:bidi w:val="0"/>
              <w:jc w:val="left"/>
              <w:rPr>
                <w:rStyle w:val="11"/>
                <w:rFonts w:hint="eastAsia" w:asciiTheme="minorEastAsia" w:hAnsiTheme="minorEastAsia" w:eastAsiaTheme="minorEastAsia" w:cstheme="minorEastAsia"/>
                <w:sz w:val="18"/>
                <w:szCs w:val="18"/>
                <w:lang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w:t>
            </w:r>
            <w:r>
              <w:rPr>
                <w:rStyle w:val="11"/>
                <w:rFonts w:hint="eastAsia" w:asciiTheme="minorEastAsia" w:hAnsiTheme="minorEastAsia" w:eastAsiaTheme="minorEastAsia" w:cstheme="minorEastAsia"/>
                <w:sz w:val="18"/>
                <w:szCs w:val="18"/>
              </w:rPr>
              <w:t>火灾</w:t>
            </w:r>
          </w:p>
        </w:tc>
        <w:tc>
          <w:tcPr>
            <w:tcW w:w="1391" w:type="pct"/>
            <w:tcBorders>
              <w:tl2br w:val="nil"/>
              <w:tr2bl w:val="nil"/>
            </w:tcBorders>
            <w:shd w:val="clear" w:color="auto" w:fill="FEFEFE"/>
            <w:noWrap w:val="0"/>
            <w:vAlign w:val="center"/>
          </w:tcPr>
          <w:p w14:paraId="297041AF">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rPr>
              <w:t>严格执行电气安装及操作规程；</w:t>
            </w:r>
          </w:p>
          <w:p w14:paraId="174A90E8">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rPr>
              <w:t>加强电气安全检查，发现隐患及时由电工整改；</w:t>
            </w:r>
          </w:p>
          <w:p w14:paraId="5407505F">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rPr>
              <w:t>减少线路负荷。</w:t>
            </w:r>
          </w:p>
        </w:tc>
        <w:tc>
          <w:tcPr>
            <w:tcW w:w="1412" w:type="pct"/>
            <w:vMerge w:val="continue"/>
            <w:tcBorders>
              <w:tl2br w:val="nil"/>
              <w:tr2bl w:val="nil"/>
            </w:tcBorders>
            <w:shd w:val="clear" w:color="auto" w:fill="FEFEFE"/>
            <w:noWrap w:val="0"/>
            <w:vAlign w:val="center"/>
          </w:tcPr>
          <w:p w14:paraId="514BB7CE">
            <w:pPr>
              <w:pStyle w:val="6"/>
              <w:bidi w:val="0"/>
              <w:jc w:val="left"/>
              <w:rPr>
                <w:rStyle w:val="11"/>
                <w:rFonts w:hint="eastAsia" w:asciiTheme="minorEastAsia" w:hAnsiTheme="minorEastAsia" w:eastAsiaTheme="minorEastAsia" w:cstheme="minorEastAsia"/>
                <w:sz w:val="18"/>
                <w:szCs w:val="18"/>
              </w:rPr>
            </w:pPr>
          </w:p>
        </w:tc>
      </w:tr>
      <w:tr w14:paraId="08212036">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75B45085">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590778CF">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721DF0F8">
            <w:pPr>
              <w:pStyle w:val="6"/>
              <w:bidi w:val="0"/>
              <w:jc w:val="left"/>
              <w:rPr>
                <w:rStyle w:val="11"/>
                <w:rFonts w:hint="eastAsia" w:asciiTheme="minorEastAsia" w:hAnsiTheme="minorEastAsia" w:eastAsiaTheme="minorEastAsia" w:cstheme="minorEastAsia"/>
                <w:sz w:val="18"/>
                <w:szCs w:val="18"/>
                <w:lang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4）</w:t>
            </w:r>
            <w:r>
              <w:rPr>
                <w:rStyle w:val="11"/>
                <w:rFonts w:hint="eastAsia" w:asciiTheme="minorEastAsia" w:hAnsiTheme="minorEastAsia" w:eastAsiaTheme="minorEastAsia" w:cstheme="minorEastAsia"/>
                <w:sz w:val="18"/>
                <w:szCs w:val="18"/>
              </w:rPr>
              <w:t>电气设备操作</w:t>
            </w: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rPr>
              <w:t>接线部位损坏</w:t>
            </w:r>
            <w:r>
              <w:rPr>
                <w:rStyle w:val="11"/>
                <w:rFonts w:hint="eastAsia" w:asciiTheme="minorEastAsia" w:hAnsiTheme="minorEastAsia" w:eastAsiaTheme="minorEastAsia" w:cstheme="minorEastAsia"/>
                <w:sz w:val="18"/>
                <w:szCs w:val="18"/>
                <w:lang w:eastAsia="zh-CN"/>
              </w:rPr>
              <w:t>。</w:t>
            </w:r>
          </w:p>
        </w:tc>
        <w:tc>
          <w:tcPr>
            <w:tcW w:w="883" w:type="pct"/>
            <w:tcBorders>
              <w:tl2br w:val="nil"/>
              <w:tr2bl w:val="nil"/>
            </w:tcBorders>
            <w:shd w:val="clear" w:color="auto" w:fill="FEFEFE"/>
            <w:noWrap w:val="0"/>
            <w:vAlign w:val="center"/>
          </w:tcPr>
          <w:p w14:paraId="152C5EFF">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rPr>
              <w:t>触电</w:t>
            </w:r>
          </w:p>
        </w:tc>
        <w:tc>
          <w:tcPr>
            <w:tcW w:w="1391" w:type="pct"/>
            <w:tcBorders>
              <w:tl2br w:val="nil"/>
              <w:tr2bl w:val="nil"/>
            </w:tcBorders>
            <w:shd w:val="clear" w:color="auto" w:fill="FEFEFE"/>
            <w:noWrap w:val="0"/>
            <w:vAlign w:val="center"/>
          </w:tcPr>
          <w:p w14:paraId="79F87110">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w:t>
            </w:r>
            <w:r>
              <w:rPr>
                <w:rStyle w:val="11"/>
                <w:rFonts w:hint="eastAsia" w:asciiTheme="minorEastAsia" w:hAnsiTheme="minorEastAsia" w:eastAsiaTheme="minorEastAsia" w:cstheme="minorEastAsia"/>
                <w:sz w:val="18"/>
                <w:szCs w:val="18"/>
              </w:rPr>
              <w:t>加强安全检查，确保接线部位完好；</w:t>
            </w:r>
          </w:p>
          <w:p w14:paraId="058EFD00">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w:t>
            </w:r>
            <w:r>
              <w:rPr>
                <w:rStyle w:val="11"/>
                <w:rFonts w:hint="eastAsia" w:asciiTheme="minorEastAsia" w:hAnsiTheme="minorEastAsia" w:eastAsiaTheme="minorEastAsia" w:cstheme="minorEastAsia"/>
                <w:sz w:val="18"/>
                <w:szCs w:val="18"/>
              </w:rPr>
              <w:t>安装和定期检查检测漏电保护器。</w:t>
            </w:r>
          </w:p>
        </w:tc>
        <w:tc>
          <w:tcPr>
            <w:tcW w:w="1412" w:type="pct"/>
            <w:vMerge w:val="continue"/>
            <w:tcBorders>
              <w:tl2br w:val="nil"/>
              <w:tr2bl w:val="nil"/>
            </w:tcBorders>
            <w:shd w:val="clear" w:color="auto" w:fill="FEFEFE"/>
            <w:noWrap w:val="0"/>
            <w:vAlign w:val="center"/>
          </w:tcPr>
          <w:p w14:paraId="7B578423">
            <w:pPr>
              <w:pStyle w:val="6"/>
              <w:bidi w:val="0"/>
              <w:jc w:val="left"/>
              <w:rPr>
                <w:rStyle w:val="11"/>
                <w:rFonts w:hint="eastAsia" w:asciiTheme="minorEastAsia" w:hAnsiTheme="minorEastAsia" w:eastAsiaTheme="minorEastAsia" w:cstheme="minorEastAsia"/>
                <w:sz w:val="18"/>
                <w:szCs w:val="18"/>
              </w:rPr>
            </w:pPr>
          </w:p>
        </w:tc>
      </w:tr>
      <w:tr w14:paraId="24B6793C">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restart"/>
            <w:tcBorders>
              <w:tl2br w:val="nil"/>
              <w:tr2bl w:val="nil"/>
            </w:tcBorders>
            <w:shd w:val="clear" w:color="auto" w:fill="FEFEFE"/>
            <w:noWrap w:val="0"/>
            <w:vAlign w:val="center"/>
          </w:tcPr>
          <w:p w14:paraId="50D730A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w:t>
            </w:r>
          </w:p>
        </w:tc>
        <w:tc>
          <w:tcPr>
            <w:tcW w:w="470" w:type="pct"/>
            <w:vMerge w:val="restart"/>
            <w:tcBorders>
              <w:tl2br w:val="nil"/>
              <w:tr2bl w:val="nil"/>
            </w:tcBorders>
            <w:shd w:val="clear" w:color="auto" w:fill="FEFEFE"/>
            <w:noWrap w:val="0"/>
            <w:vAlign w:val="center"/>
          </w:tcPr>
          <w:p w14:paraId="08F675C3">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样品交接</w:t>
            </w:r>
          </w:p>
        </w:tc>
        <w:tc>
          <w:tcPr>
            <w:tcW w:w="651" w:type="pct"/>
            <w:tcBorders>
              <w:tl2br w:val="nil"/>
              <w:tr2bl w:val="nil"/>
            </w:tcBorders>
            <w:shd w:val="clear" w:color="auto" w:fill="FEFEFE"/>
            <w:noWrap w:val="0"/>
            <w:vAlign w:val="center"/>
          </w:tcPr>
          <w:p w14:paraId="2239F7AA">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1）违规驾驶三轮电瓶车（不带头盔、载人超载、逆向行驶、超速行驶等）</w:t>
            </w:r>
          </w:p>
        </w:tc>
        <w:tc>
          <w:tcPr>
            <w:tcW w:w="883" w:type="pct"/>
            <w:tcBorders>
              <w:tl2br w:val="nil"/>
              <w:tr2bl w:val="nil"/>
            </w:tcBorders>
            <w:shd w:val="clear" w:color="auto" w:fill="FEFEFE"/>
            <w:noWrap w:val="0"/>
            <w:vAlign w:val="center"/>
          </w:tcPr>
          <w:p w14:paraId="3ECC105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1）侧翻受伤</w:t>
            </w:r>
          </w:p>
          <w:p w14:paraId="0EC7CDB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（2)车辆碰撞造成交通事故</w:t>
            </w:r>
          </w:p>
        </w:tc>
        <w:tc>
          <w:tcPr>
            <w:tcW w:w="1391" w:type="pct"/>
            <w:tcBorders>
              <w:tl2br w:val="nil"/>
              <w:tr2bl w:val="nil"/>
            </w:tcBorders>
            <w:shd w:val="clear" w:color="auto" w:fill="FEFEFE"/>
            <w:noWrap w:val="0"/>
            <w:vAlign w:val="center"/>
          </w:tcPr>
          <w:p w14:paraId="520721E2">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1）加强岗位安全教育培训，要求持证驾驶，遵守相关交通法规；</w:t>
            </w:r>
          </w:p>
          <w:p w14:paraId="60CF669E">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（2）协调仓库规定并设置合理、醒目的车辆行驶路线，限速行驶，保持安全的车距；</w:t>
            </w:r>
          </w:p>
          <w:p w14:paraId="367FB323">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（2）加强督促检查考核，对于屡教不改的，调整岗位。</w:t>
            </w:r>
          </w:p>
        </w:tc>
        <w:tc>
          <w:tcPr>
            <w:tcW w:w="1412" w:type="pct"/>
            <w:vMerge w:val="restart"/>
            <w:tcBorders>
              <w:tl2br w:val="nil"/>
              <w:tr2bl w:val="nil"/>
            </w:tcBorders>
            <w:shd w:val="clear" w:color="auto" w:fill="FEFEFE"/>
            <w:noWrap w:val="0"/>
            <w:vAlign w:val="center"/>
          </w:tcPr>
          <w:p w14:paraId="6F000941">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电瓶车相关管理文件。</w:t>
            </w:r>
          </w:p>
        </w:tc>
      </w:tr>
      <w:tr w14:paraId="5A16B557">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0FA73641">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0B44D8ED">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12058D7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2）冰面驾驶三轮电瓶车</w:t>
            </w:r>
          </w:p>
        </w:tc>
        <w:tc>
          <w:tcPr>
            <w:tcW w:w="883" w:type="pct"/>
            <w:tcBorders>
              <w:tl2br w:val="nil"/>
              <w:tr2bl w:val="nil"/>
            </w:tcBorders>
            <w:shd w:val="clear" w:color="auto" w:fill="FEFEFE"/>
            <w:noWrap w:val="0"/>
            <w:vAlign w:val="center"/>
          </w:tcPr>
          <w:p w14:paraId="261CF434">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（1）侧翻受伤</w:t>
            </w:r>
          </w:p>
          <w:p w14:paraId="013C918C">
            <w:pPr>
              <w:pStyle w:val="6"/>
              <w:bidi w:val="0"/>
              <w:jc w:val="left"/>
              <w:rPr>
                <w:rStyle w:val="11"/>
                <w:rFonts w:hint="eastAsia" w:asciiTheme="minorEastAsia" w:hAnsiTheme="minorEastAsia" w:eastAsiaTheme="minorEastAsia" w:cstheme="minorEastAsia"/>
                <w:sz w:val="18"/>
                <w:szCs w:val="18"/>
              </w:rPr>
            </w:pPr>
            <w:r>
              <w:rPr>
                <w:rStyle w:val="11"/>
                <w:rFonts w:hint="eastAsia" w:asciiTheme="minorEastAsia" w:hAnsiTheme="minorEastAsia" w:eastAsiaTheme="minorEastAsia" w:cstheme="minorEastAsia"/>
                <w:sz w:val="18"/>
                <w:szCs w:val="18"/>
                <w:lang w:val="en-US" w:eastAsia="zh-CN"/>
              </w:rPr>
              <w:t>（2)车辆碰撞造成交通事故</w:t>
            </w:r>
          </w:p>
        </w:tc>
        <w:tc>
          <w:tcPr>
            <w:tcW w:w="1391" w:type="pct"/>
            <w:tcBorders>
              <w:tl2br w:val="nil"/>
              <w:tr2bl w:val="nil"/>
            </w:tcBorders>
            <w:shd w:val="clear" w:color="auto" w:fill="FEFEFE"/>
            <w:noWrap w:val="0"/>
            <w:vAlign w:val="center"/>
          </w:tcPr>
          <w:p w14:paraId="3ACABDC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（1）加强安全意识和驾驶技巧培训。严格做到：</w:t>
            </w:r>
          </w:p>
          <w:p w14:paraId="66746B22">
            <w:pPr>
              <w:pStyle w:val="6"/>
              <w:bidi w:val="0"/>
              <w:jc w:val="left"/>
              <w:rPr>
                <w:rStyle w:val="11"/>
                <w:rFonts w:hint="eastAsia" w:asciiTheme="minorEastAsia" w:hAnsiTheme="minorEastAsia" w:eastAsiaTheme="minorEastAsia" w:cstheme="minorEastAsia"/>
                <w:sz w:val="18"/>
                <w:szCs w:val="18"/>
                <w:highlight w:val="none"/>
                <w:lang w:val="en-US" w:eastAsia="zh-CN"/>
              </w:rPr>
            </w:pPr>
            <w:r>
              <w:rPr>
                <w:rStyle w:val="11"/>
                <w:rFonts w:hint="eastAsia" w:asciiTheme="minorEastAsia" w:hAnsiTheme="minorEastAsia" w:eastAsiaTheme="minorEastAsia" w:cstheme="minorEastAsia"/>
                <w:sz w:val="18"/>
                <w:szCs w:val="18"/>
                <w:lang w:val="en-US" w:eastAsia="zh-CN"/>
              </w:rPr>
              <w:t>（2）集中注意</w:t>
            </w:r>
            <w:r>
              <w:rPr>
                <w:rStyle w:val="11"/>
                <w:rFonts w:hint="eastAsia" w:asciiTheme="minorEastAsia" w:hAnsiTheme="minorEastAsia" w:eastAsiaTheme="minorEastAsia" w:cstheme="minorEastAsia"/>
                <w:sz w:val="18"/>
                <w:szCs w:val="18"/>
                <w:highlight w:val="none"/>
                <w:lang w:val="en-US" w:eastAsia="zh-CN"/>
              </w:rPr>
              <w:t>力、低速、保持安全车距；</w:t>
            </w:r>
          </w:p>
          <w:p w14:paraId="016AAC7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（3）制动时采取点刹或降档速度；</w:t>
            </w:r>
          </w:p>
          <w:p w14:paraId="4CCF8E1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（4）转向时要减速加大转弯半径；</w:t>
            </w:r>
          </w:p>
          <w:p w14:paraId="55591BD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（5）遇有紧急情况提前减速，切忌急打方向、急踩刹车。</w:t>
            </w:r>
          </w:p>
        </w:tc>
        <w:tc>
          <w:tcPr>
            <w:tcW w:w="1412" w:type="pct"/>
            <w:vMerge w:val="continue"/>
            <w:tcBorders>
              <w:tl2br w:val="nil"/>
              <w:tr2bl w:val="nil"/>
            </w:tcBorders>
            <w:shd w:val="clear" w:color="auto" w:fill="FEFEFE"/>
            <w:noWrap w:val="0"/>
            <w:vAlign w:val="center"/>
          </w:tcPr>
          <w:p w14:paraId="53F06B25">
            <w:pPr>
              <w:pStyle w:val="6"/>
              <w:bidi w:val="0"/>
              <w:jc w:val="left"/>
              <w:rPr>
                <w:rStyle w:val="11"/>
                <w:rFonts w:hint="eastAsia" w:asciiTheme="minorEastAsia" w:hAnsiTheme="minorEastAsia" w:eastAsiaTheme="minorEastAsia" w:cstheme="minorEastAsia"/>
                <w:sz w:val="18"/>
                <w:szCs w:val="18"/>
              </w:rPr>
            </w:pPr>
          </w:p>
        </w:tc>
      </w:tr>
      <w:tr w14:paraId="437CCAE9">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4F9D82B9">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1DBDFCEB">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0E8F3FF1">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3）防寒措施不到位</w:t>
            </w:r>
          </w:p>
        </w:tc>
        <w:tc>
          <w:tcPr>
            <w:tcW w:w="883" w:type="pct"/>
            <w:tcBorders>
              <w:tl2br w:val="nil"/>
              <w:tr2bl w:val="nil"/>
            </w:tcBorders>
            <w:shd w:val="clear" w:color="auto" w:fill="FEFEFE"/>
            <w:noWrap w:val="0"/>
            <w:vAlign w:val="center"/>
          </w:tcPr>
          <w:p w14:paraId="70129B1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1）冻伤耳、手、脚等。</w:t>
            </w:r>
          </w:p>
        </w:tc>
        <w:tc>
          <w:tcPr>
            <w:tcW w:w="1391" w:type="pct"/>
            <w:tcBorders>
              <w:tl2br w:val="nil"/>
              <w:tr2bl w:val="nil"/>
            </w:tcBorders>
            <w:shd w:val="clear" w:color="auto" w:fill="FEFEFE"/>
            <w:noWrap w:val="0"/>
            <w:vAlign w:val="center"/>
          </w:tcPr>
          <w:p w14:paraId="1D6778CF">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加强防冻意识和防寒措施培训。严格穿戴防寒帽、护耳、护膝和棉手套。</w:t>
            </w:r>
          </w:p>
        </w:tc>
        <w:tc>
          <w:tcPr>
            <w:tcW w:w="1412" w:type="pct"/>
            <w:vMerge w:val="continue"/>
            <w:tcBorders>
              <w:tl2br w:val="nil"/>
              <w:tr2bl w:val="nil"/>
            </w:tcBorders>
            <w:shd w:val="clear" w:color="auto" w:fill="FEFEFE"/>
            <w:noWrap w:val="0"/>
            <w:vAlign w:val="center"/>
          </w:tcPr>
          <w:p w14:paraId="569AB9B8">
            <w:pPr>
              <w:pStyle w:val="6"/>
              <w:bidi w:val="0"/>
              <w:jc w:val="left"/>
              <w:rPr>
                <w:rStyle w:val="11"/>
                <w:rFonts w:hint="eastAsia" w:asciiTheme="minorEastAsia" w:hAnsiTheme="minorEastAsia" w:eastAsiaTheme="minorEastAsia" w:cstheme="minorEastAsia"/>
                <w:sz w:val="18"/>
                <w:szCs w:val="18"/>
              </w:rPr>
            </w:pPr>
          </w:p>
        </w:tc>
      </w:tr>
      <w:tr w14:paraId="153EEE59">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25D9EC60">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43699785">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03382B92">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4）</w:t>
            </w:r>
            <w:r>
              <w:rPr>
                <w:rStyle w:val="11"/>
                <w:rFonts w:hint="eastAsia" w:asciiTheme="minorEastAsia" w:hAnsiTheme="minorEastAsia" w:eastAsiaTheme="minorEastAsia" w:cstheme="minorEastAsia"/>
                <w:color w:val="auto"/>
                <w:sz w:val="18"/>
                <w:szCs w:val="18"/>
                <w:highlight w:val="none"/>
                <w:lang w:val="en-US" w:eastAsia="zh-CN"/>
              </w:rPr>
              <w:t>不按规定对电瓶充电。</w:t>
            </w:r>
          </w:p>
        </w:tc>
        <w:tc>
          <w:tcPr>
            <w:tcW w:w="883" w:type="pct"/>
            <w:tcBorders>
              <w:tl2br w:val="nil"/>
              <w:tr2bl w:val="nil"/>
            </w:tcBorders>
            <w:shd w:val="clear" w:color="auto" w:fill="FEFEFE"/>
            <w:noWrap w:val="0"/>
            <w:vAlign w:val="center"/>
          </w:tcPr>
          <w:p w14:paraId="58E83E1F">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1</w:t>
            </w:r>
            <w:r>
              <w:rPr>
                <w:rStyle w:val="11"/>
                <w:rFonts w:hint="eastAsia" w:asciiTheme="minorEastAsia" w:hAnsiTheme="minorEastAsia" w:eastAsiaTheme="minorEastAsia" w:cstheme="minorEastAsia"/>
                <w:sz w:val="18"/>
                <w:szCs w:val="18"/>
                <w:lang w:eastAsia="zh-CN"/>
              </w:rPr>
              <w:t>）</w:t>
            </w:r>
            <w:r>
              <w:rPr>
                <w:rStyle w:val="11"/>
                <w:rFonts w:hint="eastAsia" w:asciiTheme="minorEastAsia" w:hAnsiTheme="minorEastAsia" w:eastAsiaTheme="minorEastAsia" w:cstheme="minorEastAsia"/>
                <w:sz w:val="18"/>
                <w:szCs w:val="18"/>
                <w:lang w:val="en-US" w:eastAsia="zh-CN"/>
              </w:rPr>
              <w:t>爆炸</w:t>
            </w:r>
          </w:p>
          <w:p w14:paraId="47A9783B">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（2）火灾</w:t>
            </w:r>
          </w:p>
        </w:tc>
        <w:tc>
          <w:tcPr>
            <w:tcW w:w="1391" w:type="pct"/>
            <w:tcBorders>
              <w:tl2br w:val="nil"/>
              <w:tr2bl w:val="nil"/>
            </w:tcBorders>
            <w:shd w:val="clear" w:color="auto" w:fill="FEFEFE"/>
            <w:noWrap w:val="0"/>
            <w:vAlign w:val="center"/>
          </w:tcPr>
          <w:p w14:paraId="30EF4A5E">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（1）加强电瓶车停放和充电有关的法律法规宣传教育；</w:t>
            </w:r>
          </w:p>
          <w:p w14:paraId="057C5617">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（2）明确指定地点停放电瓶车；</w:t>
            </w:r>
          </w:p>
          <w:p w14:paraId="46527F88">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（3）严禁在室内或超长时间为电动车充电；</w:t>
            </w:r>
          </w:p>
          <w:p w14:paraId="77455FA4">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（4）不购买和使用非标和超标电动车；</w:t>
            </w:r>
          </w:p>
          <w:p w14:paraId="7446F419">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（5）集中停放电动车区域应配备灭火器。</w:t>
            </w:r>
          </w:p>
          <w:p w14:paraId="604C134A">
            <w:pPr>
              <w:pStyle w:val="6"/>
              <w:bidi w:val="0"/>
              <w:jc w:val="left"/>
              <w:rPr>
                <w:rStyle w:val="11"/>
                <w:rFonts w:hint="eastAsia" w:asciiTheme="minorEastAsia" w:hAnsiTheme="minorEastAsia" w:eastAsiaTheme="minorEastAsia" w:cstheme="minorEastAsia"/>
                <w:sz w:val="18"/>
                <w:szCs w:val="18"/>
                <w:lang w:val="en-US" w:eastAsia="zh-CN"/>
              </w:rPr>
            </w:pPr>
          </w:p>
        </w:tc>
        <w:tc>
          <w:tcPr>
            <w:tcW w:w="1412" w:type="pct"/>
            <w:vMerge w:val="continue"/>
            <w:tcBorders>
              <w:tl2br w:val="nil"/>
              <w:tr2bl w:val="nil"/>
            </w:tcBorders>
            <w:shd w:val="clear" w:color="auto" w:fill="FEFEFE"/>
            <w:noWrap w:val="0"/>
            <w:vAlign w:val="center"/>
          </w:tcPr>
          <w:p w14:paraId="431AE7CB">
            <w:pPr>
              <w:pStyle w:val="6"/>
              <w:bidi w:val="0"/>
              <w:jc w:val="left"/>
              <w:rPr>
                <w:rStyle w:val="11"/>
                <w:rFonts w:hint="eastAsia" w:asciiTheme="minorEastAsia" w:hAnsiTheme="minorEastAsia" w:eastAsiaTheme="minorEastAsia" w:cstheme="minorEastAsia"/>
                <w:sz w:val="18"/>
                <w:szCs w:val="18"/>
              </w:rPr>
            </w:pPr>
          </w:p>
        </w:tc>
      </w:tr>
      <w:tr w14:paraId="7E37E7FC">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restart"/>
            <w:tcBorders>
              <w:tl2br w:val="nil"/>
              <w:tr2bl w:val="nil"/>
            </w:tcBorders>
            <w:shd w:val="clear" w:color="auto" w:fill="FEFEFE"/>
            <w:noWrap w:val="0"/>
            <w:vAlign w:val="center"/>
          </w:tcPr>
          <w:p w14:paraId="04523EB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6</w:t>
            </w:r>
          </w:p>
        </w:tc>
        <w:tc>
          <w:tcPr>
            <w:tcW w:w="470" w:type="pct"/>
            <w:vMerge w:val="restart"/>
            <w:tcBorders>
              <w:tl2br w:val="nil"/>
              <w:tr2bl w:val="nil"/>
            </w:tcBorders>
            <w:shd w:val="clear" w:color="auto" w:fill="FEFEFE"/>
            <w:noWrap w:val="0"/>
            <w:vAlign w:val="center"/>
          </w:tcPr>
          <w:p w14:paraId="712A6A7C">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其他</w:t>
            </w:r>
          </w:p>
        </w:tc>
        <w:tc>
          <w:tcPr>
            <w:tcW w:w="651" w:type="pct"/>
            <w:tcBorders>
              <w:tl2br w:val="nil"/>
              <w:tr2bl w:val="nil"/>
            </w:tcBorders>
            <w:shd w:val="clear" w:color="auto" w:fill="FEFEFE"/>
            <w:noWrap w:val="0"/>
            <w:vAlign w:val="center"/>
          </w:tcPr>
          <w:p w14:paraId="4888C21A">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（1）仓库手机信号不好</w:t>
            </w:r>
          </w:p>
        </w:tc>
        <w:tc>
          <w:tcPr>
            <w:tcW w:w="883" w:type="pct"/>
            <w:tcBorders>
              <w:tl2br w:val="nil"/>
              <w:tr2bl w:val="nil"/>
            </w:tcBorders>
            <w:shd w:val="clear" w:color="auto" w:fill="FEFEFE"/>
            <w:noWrap w:val="0"/>
            <w:vAlign w:val="center"/>
          </w:tcPr>
          <w:p w14:paraId="0786E3F6">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发生突发情况时无法对外联络。</w:t>
            </w:r>
          </w:p>
        </w:tc>
        <w:tc>
          <w:tcPr>
            <w:tcW w:w="1391" w:type="pct"/>
            <w:tcBorders>
              <w:tl2br w:val="nil"/>
              <w:tr2bl w:val="nil"/>
            </w:tcBorders>
            <w:shd w:val="clear" w:color="auto" w:fill="FEFEFE"/>
            <w:noWrap w:val="0"/>
            <w:vAlign w:val="center"/>
          </w:tcPr>
          <w:p w14:paraId="7D30CBAD">
            <w:pPr>
              <w:pStyle w:val="6"/>
              <w:numPr>
                <w:ilvl w:val="0"/>
                <w:numId w:val="10"/>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配置紧急报警示听觉或视觉信号系统（如配备对讲机等）；</w:t>
            </w:r>
          </w:p>
          <w:p w14:paraId="09112172">
            <w:pPr>
              <w:pStyle w:val="6"/>
              <w:numPr>
                <w:ilvl w:val="0"/>
                <w:numId w:val="10"/>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同一作业面必须安排至少2人同时进行。</w:t>
            </w:r>
          </w:p>
        </w:tc>
        <w:tc>
          <w:tcPr>
            <w:tcW w:w="1412" w:type="pct"/>
            <w:tcBorders>
              <w:tl2br w:val="nil"/>
              <w:tr2bl w:val="nil"/>
            </w:tcBorders>
            <w:shd w:val="clear" w:color="auto" w:fill="FEFEFE"/>
            <w:noWrap w:val="0"/>
            <w:vAlign w:val="center"/>
          </w:tcPr>
          <w:p w14:paraId="456EED13">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24413BAA">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27476.7-2022《检测实验室安全第7部分:工效学因素》5.3.2)。</w:t>
            </w:r>
          </w:p>
          <w:p w14:paraId="15ECE4EC">
            <w:pPr>
              <w:pStyle w:val="6"/>
              <w:bidi w:val="0"/>
              <w:jc w:val="left"/>
              <w:rPr>
                <w:rStyle w:val="11"/>
                <w:rFonts w:hint="eastAsia" w:asciiTheme="minorEastAsia" w:hAnsiTheme="minorEastAsia" w:eastAsiaTheme="minorEastAsia" w:cstheme="minorEastAsia"/>
                <w:sz w:val="18"/>
                <w:szCs w:val="18"/>
              </w:rPr>
            </w:pPr>
          </w:p>
        </w:tc>
      </w:tr>
      <w:tr w14:paraId="14A1AFE0">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141D0D3D">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4EAF854A">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37DF3E61">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 xml:space="preserve">（2）露天作业久了，人体体感温差大，会出与忽冷忽热情况。 </w:t>
            </w:r>
          </w:p>
        </w:tc>
        <w:tc>
          <w:tcPr>
            <w:tcW w:w="883" w:type="pct"/>
            <w:tcBorders>
              <w:tl2br w:val="nil"/>
              <w:tr2bl w:val="nil"/>
            </w:tcBorders>
            <w:shd w:val="clear" w:color="auto" w:fill="FEFEFE"/>
            <w:noWrap w:val="0"/>
            <w:vAlign w:val="center"/>
          </w:tcPr>
          <w:p w14:paraId="236509D0">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在户外作业不能随着体感温度的变化及时减少或增添衣服，出汗后，汗液容易浸湿衣服，待汗液凝固结冰或蒸发，人忽冷忽热交替变化，容易感冒生病。</w:t>
            </w:r>
          </w:p>
        </w:tc>
        <w:tc>
          <w:tcPr>
            <w:tcW w:w="1391" w:type="pct"/>
            <w:tcBorders>
              <w:tl2br w:val="nil"/>
              <w:tr2bl w:val="nil"/>
            </w:tcBorders>
            <w:shd w:val="clear" w:color="auto" w:fill="FEFEFE"/>
            <w:noWrap w:val="0"/>
            <w:vAlign w:val="center"/>
          </w:tcPr>
          <w:p w14:paraId="33CF4CC1">
            <w:pPr>
              <w:pStyle w:val="6"/>
              <w:numPr>
                <w:ilvl w:val="0"/>
                <w:numId w:val="11"/>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设计开发保暖性好，轻薄透气排湿的户外作业用防寒职业服装；</w:t>
            </w:r>
          </w:p>
          <w:p w14:paraId="6E4D8316">
            <w:pPr>
              <w:pStyle w:val="6"/>
              <w:numPr>
                <w:ilvl w:val="0"/>
                <w:numId w:val="11"/>
              </w:numPr>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napToGrid w:val="0"/>
                <w:color w:val="000000"/>
                <w:kern w:val="0"/>
                <w:sz w:val="18"/>
                <w:szCs w:val="18"/>
                <w:lang w:val="en-US" w:eastAsia="zh-CN" w:bidi="ar-SA"/>
              </w:rPr>
              <w:t>同上2（5），合理配置并搭建一定数量的临</w:t>
            </w:r>
            <w:r>
              <w:rPr>
                <w:rStyle w:val="11"/>
                <w:rFonts w:hint="eastAsia" w:asciiTheme="minorEastAsia" w:hAnsiTheme="minorEastAsia" w:eastAsiaTheme="minorEastAsia" w:cstheme="minorEastAsia"/>
                <w:snapToGrid w:val="0"/>
                <w:color w:val="auto"/>
                <w:kern w:val="0"/>
                <w:sz w:val="18"/>
                <w:szCs w:val="18"/>
                <w:lang w:val="en-US" w:eastAsia="zh-CN" w:bidi="ar-SA"/>
              </w:rPr>
              <w:t>时简易帐篷方便检验人员更衣、休息。</w:t>
            </w:r>
            <w:r>
              <w:rPr>
                <w:rStyle w:val="11"/>
                <w:rFonts w:hint="eastAsia" w:asciiTheme="minorEastAsia" w:hAnsiTheme="minorEastAsia" w:eastAsiaTheme="minorEastAsia" w:cstheme="minorEastAsia"/>
                <w:snapToGrid w:val="0"/>
                <w:color w:val="FF0000"/>
                <w:kern w:val="0"/>
                <w:sz w:val="18"/>
                <w:szCs w:val="18"/>
                <w:lang w:val="en-US" w:eastAsia="zh-CN" w:bidi="ar-SA"/>
              </w:rPr>
              <w:t xml:space="preserve"> </w:t>
            </w:r>
          </w:p>
        </w:tc>
        <w:tc>
          <w:tcPr>
            <w:tcW w:w="1412" w:type="pct"/>
            <w:tcBorders>
              <w:tl2br w:val="nil"/>
              <w:tr2bl w:val="nil"/>
            </w:tcBorders>
            <w:shd w:val="clear" w:color="auto" w:fill="FEFEFE"/>
            <w:noWrap w:val="0"/>
            <w:vAlign w:val="center"/>
          </w:tcPr>
          <w:p w14:paraId="24C36D65">
            <w:pPr>
              <w:pStyle w:val="6"/>
              <w:bidi w:val="0"/>
              <w:jc w:val="left"/>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《职业病防治法》第四条；</w:t>
            </w:r>
          </w:p>
          <w:p w14:paraId="38C19385">
            <w:pPr>
              <w:pStyle w:val="6"/>
              <w:bidi w:val="0"/>
              <w:jc w:val="both"/>
              <w:rPr>
                <w:rStyle w:val="11"/>
                <w:rFonts w:hint="eastAsia"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GB/T 27476.7-2022《检测实验室安全第7部分:工效学因素》5.1.3e)；</w:t>
            </w:r>
          </w:p>
          <w:p w14:paraId="490DB4AC">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GB/T 13459《劳动防护服 防寒保暖要求》；</w:t>
            </w:r>
          </w:p>
          <w:p w14:paraId="2664DDE8">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GB/T 38300《防护服装 冷环境防护服》；GB/T 14440《低温作业分级》；</w:t>
            </w:r>
          </w:p>
          <w:p w14:paraId="7B8D70C5">
            <w:pPr>
              <w:pStyle w:val="6"/>
              <w:bidi w:val="0"/>
              <w:jc w:val="both"/>
              <w:rPr>
                <w:rStyle w:val="11"/>
                <w:rFonts w:hint="eastAsia"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 xml:space="preserve">GBZ/T 229.3《工作场所职业危害作业分级：高温》。 </w:t>
            </w:r>
          </w:p>
          <w:p w14:paraId="669C3360">
            <w:pPr>
              <w:pStyle w:val="6"/>
              <w:bidi w:val="0"/>
              <w:jc w:val="both"/>
              <w:rPr>
                <w:rStyle w:val="11"/>
                <w:rFonts w:hint="eastAsia" w:asciiTheme="minorEastAsia" w:hAnsiTheme="minorEastAsia" w:eastAsiaTheme="minorEastAsia" w:cstheme="minorEastAsia"/>
                <w:sz w:val="18"/>
                <w:szCs w:val="18"/>
                <w:lang w:val="en-US" w:eastAsia="zh-CN"/>
              </w:rPr>
            </w:pPr>
          </w:p>
          <w:p w14:paraId="5E506385">
            <w:pPr>
              <w:pStyle w:val="6"/>
              <w:bidi w:val="0"/>
              <w:jc w:val="left"/>
              <w:rPr>
                <w:rStyle w:val="11"/>
                <w:rFonts w:hint="eastAsia" w:asciiTheme="minorEastAsia" w:hAnsiTheme="minorEastAsia" w:eastAsiaTheme="minorEastAsia" w:cstheme="minorEastAsia"/>
                <w:sz w:val="18"/>
                <w:szCs w:val="18"/>
              </w:rPr>
            </w:pPr>
          </w:p>
        </w:tc>
      </w:tr>
      <w:tr w14:paraId="4B1CDC98">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035FAD97">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7593B3B2">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6FDD21E4">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（4）食堂管理不规范</w:t>
            </w:r>
          </w:p>
        </w:tc>
        <w:tc>
          <w:tcPr>
            <w:tcW w:w="883" w:type="pct"/>
            <w:tcBorders>
              <w:tl2br w:val="nil"/>
              <w:tr2bl w:val="nil"/>
            </w:tcBorders>
            <w:shd w:val="clear" w:color="auto" w:fill="FEFEFE"/>
            <w:noWrap w:val="0"/>
            <w:vAlign w:val="center"/>
          </w:tcPr>
          <w:p w14:paraId="1118D168">
            <w:pPr>
              <w:pStyle w:val="6"/>
              <w:bidi w:val="0"/>
              <w:jc w:val="left"/>
              <w:rPr>
                <w:rStyle w:val="11"/>
                <w:rFonts w:hint="eastAsia"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（1）食物中毒</w:t>
            </w:r>
          </w:p>
          <w:p w14:paraId="131FD2F3">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w:t>
            </w:r>
          </w:p>
        </w:tc>
        <w:tc>
          <w:tcPr>
            <w:tcW w:w="1391" w:type="pct"/>
            <w:tcBorders>
              <w:tl2br w:val="nil"/>
              <w:tr2bl w:val="nil"/>
            </w:tcBorders>
            <w:shd w:val="clear" w:color="auto" w:fill="FEFEFE"/>
            <w:noWrap w:val="0"/>
            <w:vAlign w:val="center"/>
          </w:tcPr>
          <w:p w14:paraId="13332A94">
            <w:pPr>
              <w:pStyle w:val="6"/>
              <w:numPr>
                <w:ilvl w:val="0"/>
                <w:numId w:val="0"/>
              </w:numPr>
              <w:bidi w:val="0"/>
              <w:jc w:val="left"/>
              <w:rPr>
                <w:rStyle w:val="11"/>
                <w:rFonts w:hint="default" w:asciiTheme="minorEastAsia" w:hAnsiTheme="minorEastAsia" w:eastAsiaTheme="minorEastAsia" w:cstheme="minorEastAsia"/>
                <w:snapToGrid w:val="0"/>
                <w:color w:val="000000"/>
                <w:kern w:val="0"/>
                <w:sz w:val="18"/>
                <w:szCs w:val="18"/>
                <w:lang w:val="en-US" w:eastAsia="zh-CN" w:bidi="ar-SA"/>
              </w:rPr>
            </w:pPr>
            <w:r>
              <w:rPr>
                <w:rStyle w:val="11"/>
                <w:rFonts w:hint="eastAsia" w:asciiTheme="minorEastAsia" w:hAnsiTheme="minorEastAsia" w:eastAsiaTheme="minorEastAsia" w:cstheme="minorEastAsia"/>
                <w:snapToGrid w:val="0"/>
                <w:color w:val="000000"/>
                <w:kern w:val="0"/>
                <w:sz w:val="18"/>
                <w:szCs w:val="18"/>
                <w:lang w:val="en-US" w:eastAsia="zh-CN" w:bidi="ar-SA"/>
              </w:rPr>
              <w:t>...</w:t>
            </w:r>
          </w:p>
        </w:tc>
        <w:tc>
          <w:tcPr>
            <w:tcW w:w="1412" w:type="pct"/>
            <w:tcBorders>
              <w:tl2br w:val="nil"/>
              <w:tr2bl w:val="nil"/>
            </w:tcBorders>
            <w:shd w:val="clear" w:color="auto" w:fill="FEFEFE"/>
            <w:noWrap w:val="0"/>
            <w:vAlign w:val="center"/>
          </w:tcPr>
          <w:p w14:paraId="51ECE038">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w:t>
            </w:r>
          </w:p>
        </w:tc>
      </w:tr>
      <w:tr w14:paraId="0AE8E2B8">
        <w:tblPrEx>
          <w:tblBorders>
            <w:top w:val="single" w:color="5B5B5B" w:sz="8" w:space="0"/>
            <w:left w:val="single" w:color="5B5B5B" w:sz="8" w:space="0"/>
            <w:bottom w:val="single" w:color="5B5B5B" w:sz="8" w:space="0"/>
            <w:right w:val="single" w:color="5B5B5B" w:sz="8" w:space="0"/>
            <w:insideH w:val="single" w:color="5B5B5B" w:sz="8" w:space="0"/>
            <w:insideV w:val="single" w:color="5B5B5B" w:sz="8" w:space="0"/>
          </w:tblBorders>
          <w:tblCellMar>
            <w:top w:w="0" w:type="dxa"/>
            <w:left w:w="10" w:type="dxa"/>
            <w:bottom w:w="0" w:type="dxa"/>
            <w:right w:w="10" w:type="dxa"/>
          </w:tblCellMar>
        </w:tblPrEx>
        <w:trPr>
          <w:trHeight w:val="0" w:hRule="atLeast"/>
          <w:jc w:val="center"/>
        </w:trPr>
        <w:tc>
          <w:tcPr>
            <w:tcW w:w="189" w:type="pct"/>
            <w:vMerge w:val="continue"/>
            <w:tcBorders>
              <w:tl2br w:val="nil"/>
              <w:tr2bl w:val="nil"/>
            </w:tcBorders>
            <w:shd w:val="clear" w:color="auto" w:fill="FEFEFE"/>
            <w:noWrap w:val="0"/>
            <w:vAlign w:val="center"/>
          </w:tcPr>
          <w:p w14:paraId="15482593">
            <w:pPr>
              <w:pStyle w:val="6"/>
              <w:bidi w:val="0"/>
              <w:jc w:val="left"/>
              <w:rPr>
                <w:rStyle w:val="11"/>
                <w:rFonts w:hint="eastAsia" w:asciiTheme="minorEastAsia" w:hAnsiTheme="minorEastAsia" w:eastAsiaTheme="minorEastAsia" w:cstheme="minorEastAsia"/>
                <w:sz w:val="18"/>
                <w:szCs w:val="18"/>
                <w:lang w:val="en-US" w:eastAsia="zh-CN"/>
              </w:rPr>
            </w:pPr>
          </w:p>
        </w:tc>
        <w:tc>
          <w:tcPr>
            <w:tcW w:w="470" w:type="pct"/>
            <w:vMerge w:val="continue"/>
            <w:tcBorders>
              <w:tl2br w:val="nil"/>
              <w:tr2bl w:val="nil"/>
            </w:tcBorders>
            <w:shd w:val="clear" w:color="auto" w:fill="FEFEFE"/>
            <w:noWrap w:val="0"/>
            <w:vAlign w:val="center"/>
          </w:tcPr>
          <w:p w14:paraId="355DEB86">
            <w:pPr>
              <w:pStyle w:val="6"/>
              <w:bidi w:val="0"/>
              <w:jc w:val="left"/>
              <w:rPr>
                <w:rStyle w:val="11"/>
                <w:rFonts w:hint="eastAsia" w:asciiTheme="minorEastAsia" w:hAnsiTheme="minorEastAsia" w:eastAsiaTheme="minorEastAsia" w:cstheme="minorEastAsia"/>
                <w:sz w:val="18"/>
                <w:szCs w:val="18"/>
                <w:lang w:val="en-US" w:eastAsia="zh-CN"/>
              </w:rPr>
            </w:pPr>
          </w:p>
        </w:tc>
        <w:tc>
          <w:tcPr>
            <w:tcW w:w="651" w:type="pct"/>
            <w:tcBorders>
              <w:tl2br w:val="nil"/>
              <w:tr2bl w:val="nil"/>
            </w:tcBorders>
            <w:shd w:val="clear" w:color="auto" w:fill="FEFEFE"/>
            <w:noWrap w:val="0"/>
            <w:vAlign w:val="center"/>
          </w:tcPr>
          <w:p w14:paraId="49CE7061">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(5)宿舍管理不规范</w:t>
            </w:r>
          </w:p>
        </w:tc>
        <w:tc>
          <w:tcPr>
            <w:tcW w:w="883" w:type="pct"/>
            <w:tcBorders>
              <w:tl2br w:val="nil"/>
              <w:tr2bl w:val="nil"/>
            </w:tcBorders>
            <w:shd w:val="clear" w:color="auto" w:fill="FEFEFE"/>
            <w:noWrap w:val="0"/>
            <w:vAlign w:val="center"/>
          </w:tcPr>
          <w:p w14:paraId="7E87750A">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（1）违规用电、吸烟导致火灾</w:t>
            </w:r>
          </w:p>
          <w:p w14:paraId="19896625">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w:t>
            </w:r>
          </w:p>
        </w:tc>
        <w:tc>
          <w:tcPr>
            <w:tcW w:w="1391" w:type="pct"/>
            <w:tcBorders>
              <w:tl2br w:val="nil"/>
              <w:tr2bl w:val="nil"/>
            </w:tcBorders>
            <w:shd w:val="clear" w:color="auto" w:fill="FEFEFE"/>
            <w:noWrap w:val="0"/>
            <w:vAlign w:val="center"/>
          </w:tcPr>
          <w:p w14:paraId="175205EE">
            <w:pPr>
              <w:pStyle w:val="6"/>
              <w:bidi w:val="0"/>
              <w:jc w:val="left"/>
              <w:rPr>
                <w:rStyle w:val="11"/>
                <w:rFonts w:hint="default" w:asciiTheme="minorEastAsia" w:hAnsiTheme="minorEastAsia" w:eastAsiaTheme="minorEastAsia" w:cstheme="minorEastAsia"/>
                <w:color w:val="auto"/>
                <w:sz w:val="18"/>
                <w:szCs w:val="18"/>
                <w:lang w:val="en-US" w:eastAsia="zh-CN"/>
              </w:rPr>
            </w:pPr>
            <w:r>
              <w:rPr>
                <w:rStyle w:val="11"/>
                <w:rFonts w:hint="eastAsia" w:asciiTheme="minorEastAsia" w:hAnsiTheme="minorEastAsia" w:eastAsiaTheme="minorEastAsia" w:cstheme="minorEastAsia"/>
                <w:color w:val="auto"/>
                <w:sz w:val="18"/>
                <w:szCs w:val="18"/>
                <w:lang w:val="en-US" w:eastAsia="zh-CN"/>
              </w:rPr>
              <w:t>...</w:t>
            </w:r>
          </w:p>
        </w:tc>
        <w:tc>
          <w:tcPr>
            <w:tcW w:w="1412" w:type="pct"/>
            <w:tcBorders>
              <w:tl2br w:val="nil"/>
              <w:tr2bl w:val="nil"/>
            </w:tcBorders>
            <w:shd w:val="clear" w:color="auto" w:fill="FEFEFE"/>
            <w:noWrap w:val="0"/>
            <w:vAlign w:val="center"/>
          </w:tcPr>
          <w:p w14:paraId="401DB156">
            <w:pPr>
              <w:pStyle w:val="6"/>
              <w:bidi w:val="0"/>
              <w:jc w:val="left"/>
              <w:rPr>
                <w:rStyle w:val="11"/>
                <w:rFonts w:hint="default" w:asciiTheme="minorEastAsia" w:hAnsiTheme="minorEastAsia" w:eastAsiaTheme="minorEastAsia" w:cstheme="minorEastAsia"/>
                <w:sz w:val="18"/>
                <w:szCs w:val="18"/>
                <w:lang w:val="en-US" w:eastAsia="zh-CN"/>
              </w:rPr>
            </w:pPr>
            <w:r>
              <w:rPr>
                <w:rStyle w:val="11"/>
                <w:rFonts w:hint="eastAsia" w:asciiTheme="minorEastAsia" w:hAnsiTheme="minorEastAsia" w:eastAsiaTheme="minorEastAsia" w:cstheme="minorEastAsia"/>
                <w:sz w:val="18"/>
                <w:szCs w:val="18"/>
                <w:lang w:val="en-US" w:eastAsia="zh-CN"/>
              </w:rPr>
              <w:t>...</w:t>
            </w:r>
          </w:p>
        </w:tc>
      </w:tr>
    </w:tbl>
    <w:p w14:paraId="654FC29A">
      <w:pPr>
        <w:pStyle w:val="3"/>
        <w:spacing w:before="275" w:line="229" w:lineRule="auto"/>
        <w:jc w:val="left"/>
        <w:outlineLvl w:val="1"/>
        <w:rPr>
          <w:rFonts w:hint="eastAsia"/>
          <w:spacing w:val="5"/>
          <w:sz w:val="20"/>
          <w:szCs w:val="20"/>
          <w:lang w:val="en-US" w:eastAsia="zh-CN"/>
        </w:rPr>
      </w:pPr>
    </w:p>
    <w:sectPr>
      <w:footerReference r:id="rId14" w:type="default"/>
      <w:pgSz w:w="11907" w:h="16839"/>
      <w:pgMar w:top="1440" w:right="1287" w:bottom="1440" w:left="1800" w:header="1144" w:footer="0" w:gutter="0"/>
      <w:pgBorders>
        <w:top w:val="none" w:sz="0" w:space="0"/>
        <w:left w:val="none" w:sz="0" w:space="0"/>
        <w:bottom w:val="none" w:sz="0" w:space="0"/>
        <w:right w:val="none" w:sz="0" w:space="0"/>
      </w:pgBorders>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C0C970-4DED-4451-BC08-0CBAC5B159C4}"/>
  </w:font>
  <w:font w:name="黑体">
    <w:panose1 w:val="02010609060101010101"/>
    <w:charset w:val="86"/>
    <w:family w:val="auto"/>
    <w:pitch w:val="default"/>
    <w:sig w:usb0="800002BF" w:usb1="38CF7CFA" w:usb2="00000016" w:usb3="00000000" w:csb0="00040001" w:csb1="00000000"/>
    <w:embedRegular r:id="rId2" w:fontKey="{F717149F-0067-4E65-B7A6-CB36757CDA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3" w:fontKey="{33536778-56C8-4BB0-8B9D-F94D58DE59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6D2A2">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CE72D">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0BABC">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C90BABC">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12698">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D1726">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6F55F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A6F55F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BF71E">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2B42D">
                          <w:pPr>
                            <w:pStyle w:val="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222B42D">
                    <w:pPr>
                      <w:pStyle w:val="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86384">
    <w:pPr>
      <w:spacing w:line="172" w:lineRule="auto"/>
      <w:ind w:left="9068"/>
      <w:rPr>
        <w:rFonts w:hint="eastAsia" w:ascii="宋体" w:hAnsi="宋体" w:eastAsia="宋体" w:cs="宋体"/>
        <w:sz w:val="18"/>
        <w:szCs w:val="18"/>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posOffset>5536565</wp:posOffset>
              </wp:positionH>
              <wp:positionV relativeFrom="paragraph">
                <wp:posOffset>-693420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02673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35.95pt;margin-top:-54.6pt;height:144pt;width:144pt;mso-position-horizontal-relative:margin;mso-wrap-style:none;z-index:251662336;mso-width-relative:page;mso-height-relative:page;" filled="f" stroked="f" coordsize="21600,21600" o:gfxdata="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uzdCh2QAAAA0BAAAPAAAAAAAAAAEAIAAAACIAAABkcnMvZG93bnJldi54&#10;bWxQSwECFAAUAAAACACHTuJA4YDTjjICAABhBAAADgAAAAAAAAABACAAAAAoAQAAZHJzL2Uyb0Rv&#10;Yy54bWxQSwUGAAAAAAYABgBZAQAAzAUAAAAA&#10;">
              <v:fill on="f" focussize="0,0"/>
              <v:stroke on="f" weight="0.5pt"/>
              <v:imagedata o:title=""/>
              <o:lock v:ext="edit" aspectratio="f"/>
              <v:textbox inset="0mm,0mm,0mm,0mm" style="mso-fit-shape-to-text:t;">
                <w:txbxContent>
                  <w:p w14:paraId="25026733">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eastAsia="宋体" w:cs="宋体"/>
        <w:sz w:val="18"/>
        <w:szCs w:val="18"/>
        <w:lang w:val="en-US" w:eastAsia="zh-CN"/>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48984">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B8025">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33B8025">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5363">
    <w:pPr>
      <w:spacing w:line="172" w:lineRule="auto"/>
      <w:ind w:left="9068"/>
      <w:rPr>
        <w:rFonts w:hint="eastAsia" w:ascii="宋体" w:hAnsi="宋体" w:eastAsia="宋体" w:cs="宋体"/>
        <w:sz w:val="18"/>
        <w:szCs w:val="18"/>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-693420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A623B">
                          <w:pPr>
                            <w:pStyle w:val="5"/>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4.6pt;height:144pt;width:144pt;mso-position-horizontal:outside;mso-position-horizontal-relative:margin;mso-wrap-style:none;z-index:251666432;mso-width-relative:page;mso-height-relative:page;" filled="f" stroked="f" coordsize="21600,21600" o:gfxdata="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Bs3C/WAAAACQEAAA8AAAAAAAAAAQAgAAAAIgAAAGRycy9kb3ducmV2LnhtbFBL&#10;AQIUABQAAAAIAIdO4kCpqK+VMQIAAGMEAAAOAAAAAAAAAAEAIAAAACUBAABkcnMvZTJvRG9jLnht&#10;bFBLBQYAAAAABgAGAFkBAADIBQAAAAA=&#10;">
              <v:fill on="f" focussize="0,0"/>
              <v:stroke on="f" weight="0.5pt"/>
              <v:imagedata o:title=""/>
              <o:lock v:ext="edit" aspectratio="f"/>
              <v:textbox inset="0mm,0mm,0mm,0mm" style="mso-fit-shape-to-text:t;">
                <w:txbxContent>
                  <w:p w14:paraId="671A623B">
                    <w:pPr>
                      <w:pStyle w:val="5"/>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v:textbox>
            </v:shape>
          </w:pict>
        </mc:Fallback>
      </mc:AlternateContent>
    </w:r>
    <w:r>
      <w:rPr>
        <w:rFonts w:hint="eastAsia" w:ascii="宋体" w:hAnsi="宋体" w:eastAsia="宋体" w:cs="宋体"/>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CA3F0">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21DDC">
    <w:pPr>
      <w:pStyle w:val="3"/>
      <w:spacing w:before="178" w:line="227" w:lineRule="auto"/>
      <w:ind w:left="2303"/>
      <w:jc w:val="right"/>
      <w:rPr>
        <w:rFonts w:hint="eastAsia"/>
        <w:position w:val="1"/>
        <w:sz w:val="20"/>
        <w:szCs w:val="20"/>
        <w:lang w:eastAsia="zh-CN"/>
      </w:rPr>
    </w:pPr>
    <w:r>
      <w:rPr>
        <w:rFonts w:hint="eastAsia"/>
        <w:position w:val="1"/>
        <w:sz w:val="20"/>
        <w:szCs w:val="20"/>
        <w:lang w:eastAsia="zh-CN"/>
      </w:rPr>
      <w:t>DB32/T XXXX-2024</w:t>
    </w:r>
  </w:p>
  <w:p w14:paraId="6987E887">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CA3BD"/>
    <w:multiLevelType w:val="singleLevel"/>
    <w:tmpl w:val="86DCA3BD"/>
    <w:lvl w:ilvl="0" w:tentative="0">
      <w:start w:val="1"/>
      <w:numFmt w:val="decimal"/>
      <w:suff w:val="nothing"/>
      <w:lvlText w:val="（%1）"/>
      <w:lvlJc w:val="left"/>
    </w:lvl>
  </w:abstractNum>
  <w:abstractNum w:abstractNumId="1">
    <w:nsid w:val="B8884FBC"/>
    <w:multiLevelType w:val="singleLevel"/>
    <w:tmpl w:val="B8884FBC"/>
    <w:lvl w:ilvl="0" w:tentative="0">
      <w:start w:val="1"/>
      <w:numFmt w:val="lowerLetter"/>
      <w:suff w:val="space"/>
      <w:lvlText w:val="%1)"/>
      <w:lvlJc w:val="left"/>
      <w:pPr>
        <w:tabs>
          <w:tab w:val="left" w:pos="0"/>
        </w:tabs>
      </w:pPr>
      <w:rPr>
        <w:rFonts w:hint="default"/>
      </w:rPr>
    </w:lvl>
  </w:abstractNum>
  <w:abstractNum w:abstractNumId="2">
    <w:nsid w:val="BA4FDAC9"/>
    <w:multiLevelType w:val="singleLevel"/>
    <w:tmpl w:val="BA4FDAC9"/>
    <w:lvl w:ilvl="0" w:tentative="0">
      <w:start w:val="1"/>
      <w:numFmt w:val="lowerLetter"/>
      <w:suff w:val="space"/>
      <w:lvlText w:val="%1)"/>
      <w:lvlJc w:val="left"/>
      <w:pPr>
        <w:tabs>
          <w:tab w:val="left" w:pos="0"/>
        </w:tabs>
      </w:pPr>
      <w:rPr>
        <w:rFonts w:hint="default"/>
      </w:rPr>
    </w:lvl>
  </w:abstractNum>
  <w:abstractNum w:abstractNumId="3">
    <w:nsid w:val="EF8C8FF1"/>
    <w:multiLevelType w:val="singleLevel"/>
    <w:tmpl w:val="EF8C8FF1"/>
    <w:lvl w:ilvl="0" w:tentative="0">
      <w:start w:val="1"/>
      <w:numFmt w:val="lowerLetter"/>
      <w:suff w:val="space"/>
      <w:lvlText w:val="%1)"/>
      <w:lvlJc w:val="left"/>
      <w:pPr>
        <w:tabs>
          <w:tab w:val="left" w:pos="0"/>
        </w:tabs>
      </w:pPr>
      <w:rPr>
        <w:rFonts w:hint="default"/>
      </w:rPr>
    </w:lvl>
  </w:abstractNum>
  <w:abstractNum w:abstractNumId="4">
    <w:nsid w:val="FFE05EDC"/>
    <w:multiLevelType w:val="singleLevel"/>
    <w:tmpl w:val="FFE05EDC"/>
    <w:lvl w:ilvl="0" w:tentative="0">
      <w:start w:val="1"/>
      <w:numFmt w:val="decimal"/>
      <w:suff w:val="nothing"/>
      <w:lvlText w:val="（%1）"/>
      <w:lvlJc w:val="left"/>
    </w:lvl>
  </w:abstractNum>
  <w:abstractNum w:abstractNumId="5">
    <w:nsid w:val="29FB7DD6"/>
    <w:multiLevelType w:val="singleLevel"/>
    <w:tmpl w:val="29FB7DD6"/>
    <w:lvl w:ilvl="0" w:tentative="0">
      <w:start w:val="1"/>
      <w:numFmt w:val="decimal"/>
      <w:suff w:val="nothing"/>
      <w:lvlText w:val="（%1）"/>
      <w:lvlJc w:val="left"/>
    </w:lvl>
  </w:abstractNum>
  <w:abstractNum w:abstractNumId="6">
    <w:nsid w:val="4AA3BE53"/>
    <w:multiLevelType w:val="singleLevel"/>
    <w:tmpl w:val="4AA3BE53"/>
    <w:lvl w:ilvl="0" w:tentative="0">
      <w:start w:val="1"/>
      <w:numFmt w:val="lowerLetter"/>
      <w:suff w:val="space"/>
      <w:lvlText w:val="%1)"/>
      <w:lvlJc w:val="left"/>
      <w:pPr>
        <w:tabs>
          <w:tab w:val="left" w:pos="0"/>
        </w:tabs>
      </w:pPr>
      <w:rPr>
        <w:rFonts w:hint="default"/>
      </w:rPr>
    </w:lvl>
  </w:abstractNum>
  <w:abstractNum w:abstractNumId="7">
    <w:nsid w:val="4B913723"/>
    <w:multiLevelType w:val="singleLevel"/>
    <w:tmpl w:val="4B913723"/>
    <w:lvl w:ilvl="0" w:tentative="0">
      <w:start w:val="1"/>
      <w:numFmt w:val="lowerLetter"/>
      <w:suff w:val="space"/>
      <w:lvlText w:val="%1)"/>
      <w:lvlJc w:val="left"/>
      <w:pPr>
        <w:tabs>
          <w:tab w:val="left" w:pos="0"/>
        </w:tabs>
      </w:pPr>
      <w:rPr>
        <w:rFonts w:hint="default"/>
      </w:rPr>
    </w:lvl>
  </w:abstractNum>
  <w:abstractNum w:abstractNumId="8">
    <w:nsid w:val="734FAE47"/>
    <w:multiLevelType w:val="singleLevel"/>
    <w:tmpl w:val="734FAE47"/>
    <w:lvl w:ilvl="0" w:tentative="0">
      <w:start w:val="1"/>
      <w:numFmt w:val="lowerLetter"/>
      <w:suff w:val="space"/>
      <w:lvlText w:val="%1)"/>
      <w:lvlJc w:val="left"/>
    </w:lvl>
  </w:abstractNum>
  <w:abstractNum w:abstractNumId="9">
    <w:nsid w:val="79073401"/>
    <w:multiLevelType w:val="singleLevel"/>
    <w:tmpl w:val="79073401"/>
    <w:lvl w:ilvl="0" w:tentative="0">
      <w:start w:val="1"/>
      <w:numFmt w:val="decimal"/>
      <w:suff w:val="nothing"/>
      <w:lvlText w:val="（%1）"/>
      <w:lvlJc w:val="left"/>
    </w:lvl>
  </w:abstractNum>
  <w:abstractNum w:abstractNumId="10">
    <w:nsid w:val="7D7D1A6D"/>
    <w:multiLevelType w:val="singleLevel"/>
    <w:tmpl w:val="7D7D1A6D"/>
    <w:lvl w:ilvl="0" w:tentative="0">
      <w:start w:val="1"/>
      <w:numFmt w:val="lowerLetter"/>
      <w:suff w:val="space"/>
      <w:lvlText w:val="%1)"/>
      <w:lvlJc w:val="left"/>
      <w:pPr>
        <w:tabs>
          <w:tab w:val="left" w:pos="0"/>
        </w:tabs>
      </w:pPr>
      <w:rPr>
        <w:rFonts w:hint="default"/>
      </w:rPr>
    </w:lvl>
  </w:abstractNum>
  <w:num w:numId="1">
    <w:abstractNumId w:val="3"/>
  </w:num>
  <w:num w:numId="2">
    <w:abstractNumId w:val="8"/>
  </w:num>
  <w:num w:numId="3">
    <w:abstractNumId w:val="1"/>
  </w:num>
  <w:num w:numId="4">
    <w:abstractNumId w:val="10"/>
  </w:num>
  <w:num w:numId="5">
    <w:abstractNumId w:val="6"/>
  </w:num>
  <w:num w:numId="6">
    <w:abstractNumId w:val="7"/>
  </w:num>
  <w:num w:numId="7">
    <w:abstractNumId w:val="2"/>
  </w:num>
  <w:num w:numId="8">
    <w:abstractNumId w:val="4"/>
  </w:num>
  <w:num w:numId="9">
    <w:abstractNumId w:val="5"/>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TA1Mjk5NjExNWMzNGJjYjY0NWRjOGZhNmMxMDc3NDYifQ=="/>
    <w:docVar w:name="KSO_WPS_MARK_KEY" w:val="9787e365-980c-4efd-bd19-73742d3cfc14"/>
  </w:docVars>
  <w:rsids>
    <w:rsidRoot w:val="00000000"/>
    <w:rsid w:val="002B247F"/>
    <w:rsid w:val="003A0914"/>
    <w:rsid w:val="0046550B"/>
    <w:rsid w:val="005714C6"/>
    <w:rsid w:val="005F037B"/>
    <w:rsid w:val="00773916"/>
    <w:rsid w:val="00D64AE1"/>
    <w:rsid w:val="010D427B"/>
    <w:rsid w:val="01A85250"/>
    <w:rsid w:val="01E46D89"/>
    <w:rsid w:val="02160F0D"/>
    <w:rsid w:val="0233386D"/>
    <w:rsid w:val="023575E5"/>
    <w:rsid w:val="024C492F"/>
    <w:rsid w:val="0261487E"/>
    <w:rsid w:val="028B5457"/>
    <w:rsid w:val="029C58B6"/>
    <w:rsid w:val="02A91D81"/>
    <w:rsid w:val="02DA018C"/>
    <w:rsid w:val="033B6E7D"/>
    <w:rsid w:val="035C5045"/>
    <w:rsid w:val="038A7E04"/>
    <w:rsid w:val="03FE7EAB"/>
    <w:rsid w:val="041D2A27"/>
    <w:rsid w:val="04221DEB"/>
    <w:rsid w:val="04245B63"/>
    <w:rsid w:val="04A14C86"/>
    <w:rsid w:val="04F80D9E"/>
    <w:rsid w:val="04FE63B4"/>
    <w:rsid w:val="05045994"/>
    <w:rsid w:val="053F69CD"/>
    <w:rsid w:val="060043AE"/>
    <w:rsid w:val="063522A9"/>
    <w:rsid w:val="067F52D3"/>
    <w:rsid w:val="068E19BA"/>
    <w:rsid w:val="06C947A0"/>
    <w:rsid w:val="070A2DC8"/>
    <w:rsid w:val="0733430F"/>
    <w:rsid w:val="077F1302"/>
    <w:rsid w:val="078A2181"/>
    <w:rsid w:val="07A019A5"/>
    <w:rsid w:val="07BA3CB8"/>
    <w:rsid w:val="07F10452"/>
    <w:rsid w:val="084127FA"/>
    <w:rsid w:val="085D7896"/>
    <w:rsid w:val="08624EAC"/>
    <w:rsid w:val="087370B9"/>
    <w:rsid w:val="08BC0A60"/>
    <w:rsid w:val="08D13DE0"/>
    <w:rsid w:val="097F55EA"/>
    <w:rsid w:val="09A6526C"/>
    <w:rsid w:val="09D75426"/>
    <w:rsid w:val="09ED4C49"/>
    <w:rsid w:val="09FE0C04"/>
    <w:rsid w:val="0A0A75A9"/>
    <w:rsid w:val="0A0D0E47"/>
    <w:rsid w:val="0A456833"/>
    <w:rsid w:val="0A5D3B7D"/>
    <w:rsid w:val="0A6061C1"/>
    <w:rsid w:val="0A7B4003"/>
    <w:rsid w:val="0AE778EA"/>
    <w:rsid w:val="0B224DC6"/>
    <w:rsid w:val="0BCB720C"/>
    <w:rsid w:val="0BF40511"/>
    <w:rsid w:val="0BFC5617"/>
    <w:rsid w:val="0C29237B"/>
    <w:rsid w:val="0C901FF9"/>
    <w:rsid w:val="0CD21ED4"/>
    <w:rsid w:val="0D0A78C0"/>
    <w:rsid w:val="0DBD4932"/>
    <w:rsid w:val="0DBF4B4E"/>
    <w:rsid w:val="0DEB5944"/>
    <w:rsid w:val="0E1C5AFD"/>
    <w:rsid w:val="0E211365"/>
    <w:rsid w:val="0E250E55"/>
    <w:rsid w:val="0E3C1CFB"/>
    <w:rsid w:val="0E5B4877"/>
    <w:rsid w:val="0E764404"/>
    <w:rsid w:val="0EEA1757"/>
    <w:rsid w:val="0EEE7205"/>
    <w:rsid w:val="0F2E3D3A"/>
    <w:rsid w:val="0F694D72"/>
    <w:rsid w:val="0F87169C"/>
    <w:rsid w:val="0FBB32DC"/>
    <w:rsid w:val="0FF07241"/>
    <w:rsid w:val="105F7F23"/>
    <w:rsid w:val="109220A6"/>
    <w:rsid w:val="10A67900"/>
    <w:rsid w:val="10EC17B7"/>
    <w:rsid w:val="10EC5C5A"/>
    <w:rsid w:val="110F36F7"/>
    <w:rsid w:val="116E041E"/>
    <w:rsid w:val="11D566EF"/>
    <w:rsid w:val="122D652B"/>
    <w:rsid w:val="123A29F6"/>
    <w:rsid w:val="13286CF2"/>
    <w:rsid w:val="132F0080"/>
    <w:rsid w:val="137D0DEC"/>
    <w:rsid w:val="138C54D3"/>
    <w:rsid w:val="13C0517C"/>
    <w:rsid w:val="13E96481"/>
    <w:rsid w:val="14117786"/>
    <w:rsid w:val="14123C2A"/>
    <w:rsid w:val="145853B5"/>
    <w:rsid w:val="14636234"/>
    <w:rsid w:val="148166BA"/>
    <w:rsid w:val="149A3C1F"/>
    <w:rsid w:val="14C8253B"/>
    <w:rsid w:val="150C68CB"/>
    <w:rsid w:val="1528122B"/>
    <w:rsid w:val="154C4F1A"/>
    <w:rsid w:val="15595889"/>
    <w:rsid w:val="158741A4"/>
    <w:rsid w:val="15B42ABF"/>
    <w:rsid w:val="160457F4"/>
    <w:rsid w:val="1615355E"/>
    <w:rsid w:val="162714E3"/>
    <w:rsid w:val="16CA259A"/>
    <w:rsid w:val="16D828A4"/>
    <w:rsid w:val="1711641B"/>
    <w:rsid w:val="171952CF"/>
    <w:rsid w:val="171C091C"/>
    <w:rsid w:val="1720040C"/>
    <w:rsid w:val="17CC2342"/>
    <w:rsid w:val="180513B0"/>
    <w:rsid w:val="18420856"/>
    <w:rsid w:val="185F6D12"/>
    <w:rsid w:val="18A1732B"/>
    <w:rsid w:val="18E831AB"/>
    <w:rsid w:val="191044B0"/>
    <w:rsid w:val="19173A91"/>
    <w:rsid w:val="192F0DDA"/>
    <w:rsid w:val="192F2B88"/>
    <w:rsid w:val="196565AA"/>
    <w:rsid w:val="196842EC"/>
    <w:rsid w:val="19A35324"/>
    <w:rsid w:val="19CF7EC7"/>
    <w:rsid w:val="19D76D7C"/>
    <w:rsid w:val="1A0A53A3"/>
    <w:rsid w:val="1A134258"/>
    <w:rsid w:val="1A1A3838"/>
    <w:rsid w:val="1A3F504D"/>
    <w:rsid w:val="1A78230D"/>
    <w:rsid w:val="1AC15A62"/>
    <w:rsid w:val="1ADA2FC8"/>
    <w:rsid w:val="1AE31E7C"/>
    <w:rsid w:val="1AFA5418"/>
    <w:rsid w:val="1B410951"/>
    <w:rsid w:val="1B411BFF"/>
    <w:rsid w:val="1B5468D6"/>
    <w:rsid w:val="1B79633D"/>
    <w:rsid w:val="1B80591D"/>
    <w:rsid w:val="1BAF1D5E"/>
    <w:rsid w:val="1BB9498B"/>
    <w:rsid w:val="1BBD41B1"/>
    <w:rsid w:val="1BBE4697"/>
    <w:rsid w:val="1BF14125"/>
    <w:rsid w:val="1C054074"/>
    <w:rsid w:val="1C136791"/>
    <w:rsid w:val="1C44694B"/>
    <w:rsid w:val="1CBB4733"/>
    <w:rsid w:val="1CC655B2"/>
    <w:rsid w:val="1CD81789"/>
    <w:rsid w:val="1D291FE4"/>
    <w:rsid w:val="1D383FD6"/>
    <w:rsid w:val="1D3A7D4E"/>
    <w:rsid w:val="1D7C2114"/>
    <w:rsid w:val="1DD23B01"/>
    <w:rsid w:val="1DD737EE"/>
    <w:rsid w:val="1E7828DC"/>
    <w:rsid w:val="1E796654"/>
    <w:rsid w:val="1E7E1EBC"/>
    <w:rsid w:val="1F413615"/>
    <w:rsid w:val="1F464788"/>
    <w:rsid w:val="1F49071C"/>
    <w:rsid w:val="1F8A4FBC"/>
    <w:rsid w:val="1FA63478"/>
    <w:rsid w:val="1FAD2A59"/>
    <w:rsid w:val="20196340"/>
    <w:rsid w:val="209D487B"/>
    <w:rsid w:val="20B47E17"/>
    <w:rsid w:val="20CA763A"/>
    <w:rsid w:val="20DA5ACF"/>
    <w:rsid w:val="20DE6C42"/>
    <w:rsid w:val="2129610F"/>
    <w:rsid w:val="213845A4"/>
    <w:rsid w:val="214560F9"/>
    <w:rsid w:val="21611D4D"/>
    <w:rsid w:val="21AD6D40"/>
    <w:rsid w:val="2201708C"/>
    <w:rsid w:val="224A458F"/>
    <w:rsid w:val="22513B6F"/>
    <w:rsid w:val="22794E74"/>
    <w:rsid w:val="229E2B2D"/>
    <w:rsid w:val="22CA72A5"/>
    <w:rsid w:val="22CC1448"/>
    <w:rsid w:val="23E15855"/>
    <w:rsid w:val="23EE53EE"/>
    <w:rsid w:val="24170DE9"/>
    <w:rsid w:val="244E7A1E"/>
    <w:rsid w:val="24B108F5"/>
    <w:rsid w:val="25090731"/>
    <w:rsid w:val="2527505B"/>
    <w:rsid w:val="257F6C45"/>
    <w:rsid w:val="25CD5C03"/>
    <w:rsid w:val="25D23219"/>
    <w:rsid w:val="25E66CC5"/>
    <w:rsid w:val="260F621B"/>
    <w:rsid w:val="261C6242"/>
    <w:rsid w:val="268D7140"/>
    <w:rsid w:val="26D7660D"/>
    <w:rsid w:val="270A69E3"/>
    <w:rsid w:val="27127645"/>
    <w:rsid w:val="2714160F"/>
    <w:rsid w:val="277F117F"/>
    <w:rsid w:val="279A7D67"/>
    <w:rsid w:val="27B30E28"/>
    <w:rsid w:val="27D86AE1"/>
    <w:rsid w:val="27F751B9"/>
    <w:rsid w:val="2818512F"/>
    <w:rsid w:val="28620159"/>
    <w:rsid w:val="28DF4D3F"/>
    <w:rsid w:val="28EC45F2"/>
    <w:rsid w:val="293B10D5"/>
    <w:rsid w:val="29581C87"/>
    <w:rsid w:val="2959155B"/>
    <w:rsid w:val="296543A4"/>
    <w:rsid w:val="29673C78"/>
    <w:rsid w:val="2987431B"/>
    <w:rsid w:val="29A053DC"/>
    <w:rsid w:val="29EA6657"/>
    <w:rsid w:val="2A1738F0"/>
    <w:rsid w:val="2A2C6C70"/>
    <w:rsid w:val="2A905451"/>
    <w:rsid w:val="2AC46EA9"/>
    <w:rsid w:val="2AD76BDC"/>
    <w:rsid w:val="2AD92954"/>
    <w:rsid w:val="2B177920"/>
    <w:rsid w:val="2B4104F9"/>
    <w:rsid w:val="2B41674B"/>
    <w:rsid w:val="2B471FB3"/>
    <w:rsid w:val="2B597F39"/>
    <w:rsid w:val="2B870602"/>
    <w:rsid w:val="2B944ACD"/>
    <w:rsid w:val="2BA411B4"/>
    <w:rsid w:val="2BFF463C"/>
    <w:rsid w:val="2C0003B4"/>
    <w:rsid w:val="2C4B162F"/>
    <w:rsid w:val="2C4C35F9"/>
    <w:rsid w:val="2C640943"/>
    <w:rsid w:val="2C6D5A4A"/>
    <w:rsid w:val="2C7072E8"/>
    <w:rsid w:val="2C7C3EDF"/>
    <w:rsid w:val="2CA62D0A"/>
    <w:rsid w:val="2D656721"/>
    <w:rsid w:val="2D937732"/>
    <w:rsid w:val="2D99286E"/>
    <w:rsid w:val="2DC21DC5"/>
    <w:rsid w:val="2DCF6290"/>
    <w:rsid w:val="2DF31F7F"/>
    <w:rsid w:val="2E2C723F"/>
    <w:rsid w:val="2E6966E5"/>
    <w:rsid w:val="2EA74B17"/>
    <w:rsid w:val="2ED25818"/>
    <w:rsid w:val="2EE861E8"/>
    <w:rsid w:val="2EFF4953"/>
    <w:rsid w:val="2F6973D6"/>
    <w:rsid w:val="2F6C5DDD"/>
    <w:rsid w:val="2F7013AD"/>
    <w:rsid w:val="2FCA4F61"/>
    <w:rsid w:val="30613545"/>
    <w:rsid w:val="30A05CC2"/>
    <w:rsid w:val="30E107B4"/>
    <w:rsid w:val="315E1E05"/>
    <w:rsid w:val="31BE28A4"/>
    <w:rsid w:val="31F369F1"/>
    <w:rsid w:val="323828D1"/>
    <w:rsid w:val="324F174E"/>
    <w:rsid w:val="32584AA6"/>
    <w:rsid w:val="32987598"/>
    <w:rsid w:val="33134E71"/>
    <w:rsid w:val="333A41AC"/>
    <w:rsid w:val="33C87A09"/>
    <w:rsid w:val="33DE547F"/>
    <w:rsid w:val="33E12879"/>
    <w:rsid w:val="344A48C2"/>
    <w:rsid w:val="34580D8D"/>
    <w:rsid w:val="347B2C27"/>
    <w:rsid w:val="347F27BE"/>
    <w:rsid w:val="34897199"/>
    <w:rsid w:val="34BF0E0C"/>
    <w:rsid w:val="34C93A39"/>
    <w:rsid w:val="34E95E89"/>
    <w:rsid w:val="351F5D4F"/>
    <w:rsid w:val="35843E04"/>
    <w:rsid w:val="35A16764"/>
    <w:rsid w:val="35AB6B9C"/>
    <w:rsid w:val="35C83CF1"/>
    <w:rsid w:val="36341386"/>
    <w:rsid w:val="365D6B2F"/>
    <w:rsid w:val="37090CD6"/>
    <w:rsid w:val="371371EE"/>
    <w:rsid w:val="373553B6"/>
    <w:rsid w:val="373D070E"/>
    <w:rsid w:val="37D050DF"/>
    <w:rsid w:val="37DE5A4E"/>
    <w:rsid w:val="38563836"/>
    <w:rsid w:val="387E0DA4"/>
    <w:rsid w:val="38FD0155"/>
    <w:rsid w:val="39074B30"/>
    <w:rsid w:val="392C0BD4"/>
    <w:rsid w:val="3942200C"/>
    <w:rsid w:val="394915ED"/>
    <w:rsid w:val="3B005CDB"/>
    <w:rsid w:val="3B163750"/>
    <w:rsid w:val="3B530501"/>
    <w:rsid w:val="3B5A188F"/>
    <w:rsid w:val="3BFC64A2"/>
    <w:rsid w:val="3CB925E5"/>
    <w:rsid w:val="3CCB6566"/>
    <w:rsid w:val="3D031AB2"/>
    <w:rsid w:val="3D840E45"/>
    <w:rsid w:val="3DAE5EC2"/>
    <w:rsid w:val="3DBF00CF"/>
    <w:rsid w:val="3DE11DF4"/>
    <w:rsid w:val="3E3F6B1A"/>
    <w:rsid w:val="3E410AE4"/>
    <w:rsid w:val="3E7A310C"/>
    <w:rsid w:val="3E9C5D1B"/>
    <w:rsid w:val="3EA572C5"/>
    <w:rsid w:val="3EA6303D"/>
    <w:rsid w:val="3EC55271"/>
    <w:rsid w:val="3EC84D62"/>
    <w:rsid w:val="3EDC080D"/>
    <w:rsid w:val="402B1A4C"/>
    <w:rsid w:val="403A3A3D"/>
    <w:rsid w:val="404448BC"/>
    <w:rsid w:val="405A7C3B"/>
    <w:rsid w:val="406B3BF6"/>
    <w:rsid w:val="4077259B"/>
    <w:rsid w:val="40905D53"/>
    <w:rsid w:val="40D21EC7"/>
    <w:rsid w:val="40E045E4"/>
    <w:rsid w:val="40F2256A"/>
    <w:rsid w:val="41635215"/>
    <w:rsid w:val="418F1B67"/>
    <w:rsid w:val="41C9151C"/>
    <w:rsid w:val="41D420AC"/>
    <w:rsid w:val="42336996"/>
    <w:rsid w:val="426B25D4"/>
    <w:rsid w:val="42A45AE6"/>
    <w:rsid w:val="42DD6902"/>
    <w:rsid w:val="42DF6B1E"/>
    <w:rsid w:val="434150E2"/>
    <w:rsid w:val="436A4639"/>
    <w:rsid w:val="437C0976"/>
    <w:rsid w:val="43C875B2"/>
    <w:rsid w:val="440F51E1"/>
    <w:rsid w:val="447137A5"/>
    <w:rsid w:val="449F6565"/>
    <w:rsid w:val="45443D3C"/>
    <w:rsid w:val="45A51959"/>
    <w:rsid w:val="45C73FC5"/>
    <w:rsid w:val="46162856"/>
    <w:rsid w:val="46641814"/>
    <w:rsid w:val="46717A8D"/>
    <w:rsid w:val="4698326B"/>
    <w:rsid w:val="4734568A"/>
    <w:rsid w:val="474B67B0"/>
    <w:rsid w:val="47AC3472"/>
    <w:rsid w:val="47B1214D"/>
    <w:rsid w:val="47C87B80"/>
    <w:rsid w:val="48684EBF"/>
    <w:rsid w:val="48741AB6"/>
    <w:rsid w:val="488B752C"/>
    <w:rsid w:val="48B3438D"/>
    <w:rsid w:val="48BD345D"/>
    <w:rsid w:val="48C742DC"/>
    <w:rsid w:val="48DF1625"/>
    <w:rsid w:val="49044BE8"/>
    <w:rsid w:val="491A265E"/>
    <w:rsid w:val="491F1A22"/>
    <w:rsid w:val="492434DC"/>
    <w:rsid w:val="4933371F"/>
    <w:rsid w:val="4948541D"/>
    <w:rsid w:val="49694DFA"/>
    <w:rsid w:val="49C600F0"/>
    <w:rsid w:val="49CA4084"/>
    <w:rsid w:val="49D56585"/>
    <w:rsid w:val="4A0A0924"/>
    <w:rsid w:val="4A0D3F70"/>
    <w:rsid w:val="4A1B668D"/>
    <w:rsid w:val="4A315EB1"/>
    <w:rsid w:val="4A58168F"/>
    <w:rsid w:val="4A7B537E"/>
    <w:rsid w:val="4A7E09CA"/>
    <w:rsid w:val="4AAE7477"/>
    <w:rsid w:val="4ADB7BCB"/>
    <w:rsid w:val="4B6978CC"/>
    <w:rsid w:val="4BBC17AA"/>
    <w:rsid w:val="4BD765E4"/>
    <w:rsid w:val="4C0118B3"/>
    <w:rsid w:val="4C891FD4"/>
    <w:rsid w:val="4CC27294"/>
    <w:rsid w:val="4D0478AD"/>
    <w:rsid w:val="4D151ABA"/>
    <w:rsid w:val="4D245859"/>
    <w:rsid w:val="4D330192"/>
    <w:rsid w:val="4EA529C9"/>
    <w:rsid w:val="4EAD5D22"/>
    <w:rsid w:val="4EC310A1"/>
    <w:rsid w:val="4EEF633A"/>
    <w:rsid w:val="4EFB4CDF"/>
    <w:rsid w:val="4F5166AD"/>
    <w:rsid w:val="4FAB400F"/>
    <w:rsid w:val="503E4E84"/>
    <w:rsid w:val="50493828"/>
    <w:rsid w:val="51A11B6E"/>
    <w:rsid w:val="51E11F6A"/>
    <w:rsid w:val="51EE0B2B"/>
    <w:rsid w:val="52151C14"/>
    <w:rsid w:val="524E5126"/>
    <w:rsid w:val="527971DC"/>
    <w:rsid w:val="52C5363A"/>
    <w:rsid w:val="530879CB"/>
    <w:rsid w:val="530A729F"/>
    <w:rsid w:val="530D6D8F"/>
    <w:rsid w:val="532A7941"/>
    <w:rsid w:val="533C1422"/>
    <w:rsid w:val="537A2677"/>
    <w:rsid w:val="53AC47FA"/>
    <w:rsid w:val="53C90F08"/>
    <w:rsid w:val="53E915AA"/>
    <w:rsid w:val="540E1011"/>
    <w:rsid w:val="548D63DA"/>
    <w:rsid w:val="54C067AF"/>
    <w:rsid w:val="553B4087"/>
    <w:rsid w:val="55690BF5"/>
    <w:rsid w:val="559F3CBE"/>
    <w:rsid w:val="55DA564E"/>
    <w:rsid w:val="55FC3817"/>
    <w:rsid w:val="56075D18"/>
    <w:rsid w:val="565C42B5"/>
    <w:rsid w:val="56682C5A"/>
    <w:rsid w:val="56701B0F"/>
    <w:rsid w:val="56860089"/>
    <w:rsid w:val="56E44DCB"/>
    <w:rsid w:val="57236B81"/>
    <w:rsid w:val="572D5C52"/>
    <w:rsid w:val="57715B3F"/>
    <w:rsid w:val="57792C45"/>
    <w:rsid w:val="57CC7219"/>
    <w:rsid w:val="57FD73D2"/>
    <w:rsid w:val="58117322"/>
    <w:rsid w:val="582E1C82"/>
    <w:rsid w:val="58403763"/>
    <w:rsid w:val="58670CF0"/>
    <w:rsid w:val="58AD704A"/>
    <w:rsid w:val="58E862D4"/>
    <w:rsid w:val="590F3861"/>
    <w:rsid w:val="59611BE3"/>
    <w:rsid w:val="599124C8"/>
    <w:rsid w:val="59B12B6A"/>
    <w:rsid w:val="5A2C0443"/>
    <w:rsid w:val="5A355549"/>
    <w:rsid w:val="5AC97A40"/>
    <w:rsid w:val="5B195385"/>
    <w:rsid w:val="5B4B48F9"/>
    <w:rsid w:val="5C0351D3"/>
    <w:rsid w:val="5C190553"/>
    <w:rsid w:val="5C270EC2"/>
    <w:rsid w:val="5C311D40"/>
    <w:rsid w:val="5C62014C"/>
    <w:rsid w:val="5CB87D6C"/>
    <w:rsid w:val="5CCE758F"/>
    <w:rsid w:val="5CF07506"/>
    <w:rsid w:val="5DF272AD"/>
    <w:rsid w:val="5E082F75"/>
    <w:rsid w:val="5E162F9C"/>
    <w:rsid w:val="5E257683"/>
    <w:rsid w:val="5E280F21"/>
    <w:rsid w:val="5E453881"/>
    <w:rsid w:val="5E532442"/>
    <w:rsid w:val="5E79177D"/>
    <w:rsid w:val="5E7B3747"/>
    <w:rsid w:val="5EF534F9"/>
    <w:rsid w:val="5F021772"/>
    <w:rsid w:val="5F0B6879"/>
    <w:rsid w:val="5F271E60"/>
    <w:rsid w:val="5F30008D"/>
    <w:rsid w:val="5F5C0E82"/>
    <w:rsid w:val="602E1A13"/>
    <w:rsid w:val="60687CFB"/>
    <w:rsid w:val="60844B35"/>
    <w:rsid w:val="608F34D9"/>
    <w:rsid w:val="609B3C2C"/>
    <w:rsid w:val="60B30F76"/>
    <w:rsid w:val="61907509"/>
    <w:rsid w:val="61D76EE6"/>
    <w:rsid w:val="62157A0E"/>
    <w:rsid w:val="62C54F90"/>
    <w:rsid w:val="62E25B42"/>
    <w:rsid w:val="62E713AB"/>
    <w:rsid w:val="62F15D85"/>
    <w:rsid w:val="633B34A5"/>
    <w:rsid w:val="63AE1EC8"/>
    <w:rsid w:val="63DD455C"/>
    <w:rsid w:val="63EE0517"/>
    <w:rsid w:val="641066DF"/>
    <w:rsid w:val="643423CE"/>
    <w:rsid w:val="64601415"/>
    <w:rsid w:val="65363F24"/>
    <w:rsid w:val="65B8702E"/>
    <w:rsid w:val="66372649"/>
    <w:rsid w:val="66B772E6"/>
    <w:rsid w:val="67486190"/>
    <w:rsid w:val="675E59B4"/>
    <w:rsid w:val="676E3E49"/>
    <w:rsid w:val="678E6299"/>
    <w:rsid w:val="67C7136F"/>
    <w:rsid w:val="67D0065F"/>
    <w:rsid w:val="67F3434E"/>
    <w:rsid w:val="6821710D"/>
    <w:rsid w:val="68637725"/>
    <w:rsid w:val="68B95597"/>
    <w:rsid w:val="69030E31"/>
    <w:rsid w:val="69232A11"/>
    <w:rsid w:val="692C3FBB"/>
    <w:rsid w:val="694C1F68"/>
    <w:rsid w:val="695157D0"/>
    <w:rsid w:val="6958090C"/>
    <w:rsid w:val="695A0B28"/>
    <w:rsid w:val="69AE2C22"/>
    <w:rsid w:val="69B8637F"/>
    <w:rsid w:val="69C2222A"/>
    <w:rsid w:val="69CA7330"/>
    <w:rsid w:val="69D361E5"/>
    <w:rsid w:val="69DB153D"/>
    <w:rsid w:val="6A7C4ACE"/>
    <w:rsid w:val="6AD541DF"/>
    <w:rsid w:val="6B19231D"/>
    <w:rsid w:val="6B6A2B79"/>
    <w:rsid w:val="6B7B2FD8"/>
    <w:rsid w:val="6B833C3B"/>
    <w:rsid w:val="6B87197D"/>
    <w:rsid w:val="6BE96194"/>
    <w:rsid w:val="6CFC695A"/>
    <w:rsid w:val="6D036DE1"/>
    <w:rsid w:val="6E8E6B7E"/>
    <w:rsid w:val="6ED547AD"/>
    <w:rsid w:val="6F370FC4"/>
    <w:rsid w:val="6F6124E5"/>
    <w:rsid w:val="6F653D83"/>
    <w:rsid w:val="6F6B6EC0"/>
    <w:rsid w:val="6F7C731F"/>
    <w:rsid w:val="6FC54822"/>
    <w:rsid w:val="6FE74798"/>
    <w:rsid w:val="70AB3A18"/>
    <w:rsid w:val="711E068D"/>
    <w:rsid w:val="71632544"/>
    <w:rsid w:val="71AA1F21"/>
    <w:rsid w:val="71F66F14"/>
    <w:rsid w:val="72035AD5"/>
    <w:rsid w:val="72330169"/>
    <w:rsid w:val="72477770"/>
    <w:rsid w:val="726E2F4F"/>
    <w:rsid w:val="72824C4C"/>
    <w:rsid w:val="72BC63B0"/>
    <w:rsid w:val="731955B0"/>
    <w:rsid w:val="736D1458"/>
    <w:rsid w:val="73922C6D"/>
    <w:rsid w:val="73C51294"/>
    <w:rsid w:val="73C848E1"/>
    <w:rsid w:val="741144D9"/>
    <w:rsid w:val="74471CA9"/>
    <w:rsid w:val="74AE3AD6"/>
    <w:rsid w:val="74D3178F"/>
    <w:rsid w:val="75226272"/>
    <w:rsid w:val="7535244A"/>
    <w:rsid w:val="754B7577"/>
    <w:rsid w:val="75610B49"/>
    <w:rsid w:val="75ED6880"/>
    <w:rsid w:val="75FB71EF"/>
    <w:rsid w:val="76373F9F"/>
    <w:rsid w:val="768947FB"/>
    <w:rsid w:val="76960CC6"/>
    <w:rsid w:val="76A553AD"/>
    <w:rsid w:val="76C23869"/>
    <w:rsid w:val="776112D4"/>
    <w:rsid w:val="77DE2925"/>
    <w:rsid w:val="77F57C6E"/>
    <w:rsid w:val="78174088"/>
    <w:rsid w:val="783B7D77"/>
    <w:rsid w:val="78AA6CAB"/>
    <w:rsid w:val="790E548B"/>
    <w:rsid w:val="79273E57"/>
    <w:rsid w:val="79A13C0A"/>
    <w:rsid w:val="79C36276"/>
    <w:rsid w:val="79C45B4A"/>
    <w:rsid w:val="79F857F4"/>
    <w:rsid w:val="7A0B3779"/>
    <w:rsid w:val="7A1C7734"/>
    <w:rsid w:val="7A232871"/>
    <w:rsid w:val="7A48677B"/>
    <w:rsid w:val="7AA951A0"/>
    <w:rsid w:val="7AB43E11"/>
    <w:rsid w:val="7AB931D5"/>
    <w:rsid w:val="7AC46506"/>
    <w:rsid w:val="7B0703E4"/>
    <w:rsid w:val="7B1E128A"/>
    <w:rsid w:val="7B7517F2"/>
    <w:rsid w:val="7B81350F"/>
    <w:rsid w:val="7B825CBD"/>
    <w:rsid w:val="7BC500FF"/>
    <w:rsid w:val="7BF32717"/>
    <w:rsid w:val="7BFF730D"/>
    <w:rsid w:val="7C013085"/>
    <w:rsid w:val="7C330D65"/>
    <w:rsid w:val="7C417926"/>
    <w:rsid w:val="7C7C270C"/>
    <w:rsid w:val="7C833A9B"/>
    <w:rsid w:val="7C8B294F"/>
    <w:rsid w:val="7CC16371"/>
    <w:rsid w:val="7CD267D0"/>
    <w:rsid w:val="7CF624BE"/>
    <w:rsid w:val="7D380D29"/>
    <w:rsid w:val="7DBF6D54"/>
    <w:rsid w:val="7EEF18BB"/>
    <w:rsid w:val="7F08297D"/>
    <w:rsid w:val="7F710522"/>
    <w:rsid w:val="7F8402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黑体" w:hAnsi="黑体" w:eastAsia="黑体" w:cs="黑体"/>
      <w:sz w:val="28"/>
      <w:szCs w:val="28"/>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10597</Words>
  <Characters>12027</Characters>
  <TotalTime>0</TotalTime>
  <ScaleCrop>false</ScaleCrop>
  <LinksUpToDate>false</LinksUpToDate>
  <CharactersWithSpaces>12698</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2024-02-10T11:11:00Z</dcterms:created>
  <dc:creator>jsxj-xhy</dc:creator>
  <cp:lastModifiedBy>徐鸿燕</cp:lastModifiedBy>
  <cp:lastPrinted>2024-10-28T03:21:00Z</cp:lastPrinted>
  <dcterms:modified xsi:type="dcterms:W3CDTF">2024-12-13T02:33:29Z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2024-02-10T14:54:55Z</vt:filetime>
  </property>
  <property fmtid="{D5CDD505-2E9C-101B-9397-08002B2CF9AE}" pid="4" name="KSOProductBuildVer">
    <vt:lpwstr>2052-12.1.0.18276</vt:lpwstr>
  </property>
  <property fmtid="{D5CDD505-2E9C-101B-9397-08002B2CF9AE}" pid="5" name="ICV">
    <vt:lpwstr>BED88F412A3D4F44B0DC11215A1F974E_13</vt:lpwstr>
  </property>
</Properties>
</file>